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DBCA" w14:textId="0A5A6BCD" w:rsidR="008A09D1" w:rsidRPr="00237F8C" w:rsidRDefault="008A09D1" w:rsidP="00A84FB6">
      <w:pPr>
        <w:rPr>
          <w:rFonts w:ascii="Book Antiqua" w:hAnsi="Book Antiqua"/>
        </w:rPr>
      </w:pPr>
    </w:p>
    <w:p w14:paraId="49E64999" w14:textId="22A26047" w:rsidR="00A84FB6" w:rsidRPr="00237F8C" w:rsidRDefault="00A84FB6" w:rsidP="00A84FB6">
      <w:pPr>
        <w:rPr>
          <w:rFonts w:ascii="Book Antiqua" w:hAnsi="Book Antiqua"/>
        </w:rPr>
      </w:pPr>
    </w:p>
    <w:p w14:paraId="0BADFBD1" w14:textId="64DB059E" w:rsidR="00A84FB6" w:rsidRDefault="00A84FB6" w:rsidP="00A84FB6">
      <w:pPr>
        <w:spacing w:before="120" w:after="360"/>
        <w:jc w:val="center"/>
        <w:rPr>
          <w:rFonts w:ascii="Book Antiqua" w:hAnsi="Book Antiqua"/>
          <w:b/>
          <w:spacing w:val="40"/>
          <w:sz w:val="26"/>
          <w:szCs w:val="26"/>
        </w:rPr>
      </w:pPr>
      <w:r w:rsidRPr="00382811">
        <w:rPr>
          <w:rFonts w:ascii="Book Antiqua" w:hAnsi="Book Antiqua"/>
          <w:b/>
          <w:spacing w:val="40"/>
          <w:sz w:val="26"/>
          <w:szCs w:val="26"/>
        </w:rPr>
        <w:t>MEMORANDUM</w:t>
      </w:r>
    </w:p>
    <w:p w14:paraId="4B7CDAEF" w14:textId="3B37E08C" w:rsidR="00857316" w:rsidRPr="009A5DE0" w:rsidRDefault="00857316" w:rsidP="00A84FB6">
      <w:pPr>
        <w:shd w:val="clear" w:color="auto" w:fill="FFFFFF"/>
        <w:spacing w:after="150" w:line="180" w:lineRule="atLeast"/>
        <w:jc w:val="both"/>
        <w:rPr>
          <w:rFonts w:ascii="Book Antiqua" w:hAnsi="Book Antiqua"/>
          <w:b/>
          <w:bCs/>
          <w:sz w:val="26"/>
          <w:szCs w:val="26"/>
        </w:rPr>
      </w:pPr>
      <w:r w:rsidRPr="009A5DE0">
        <w:rPr>
          <w:rFonts w:ascii="Book Antiqua" w:hAnsi="Book Antiqua"/>
          <w:b/>
          <w:bCs/>
          <w:sz w:val="26"/>
          <w:szCs w:val="26"/>
        </w:rPr>
        <w:t xml:space="preserve">TO: </w:t>
      </w:r>
      <w:r w:rsidRPr="009A5DE0">
        <w:rPr>
          <w:rFonts w:ascii="Book Antiqua" w:hAnsi="Book Antiqua"/>
          <w:b/>
          <w:bCs/>
          <w:sz w:val="26"/>
          <w:szCs w:val="26"/>
        </w:rPr>
        <w:tab/>
        <w:t>Manufactured Housing Communities of Oregon</w:t>
      </w:r>
    </w:p>
    <w:p w14:paraId="5B66EFC0" w14:textId="2C4BBD06" w:rsidR="00857316" w:rsidRPr="009A5DE0" w:rsidRDefault="00857316" w:rsidP="00857316">
      <w:pPr>
        <w:shd w:val="clear" w:color="auto" w:fill="FFFFFF"/>
        <w:tabs>
          <w:tab w:val="left" w:pos="1080"/>
        </w:tabs>
        <w:spacing w:after="150" w:line="180" w:lineRule="atLeast"/>
        <w:jc w:val="both"/>
        <w:rPr>
          <w:rFonts w:ascii="Book Antiqua" w:hAnsi="Book Antiqua"/>
          <w:b/>
          <w:bCs/>
          <w:sz w:val="26"/>
          <w:szCs w:val="26"/>
        </w:rPr>
      </w:pPr>
      <w:r w:rsidRPr="009A5DE0">
        <w:rPr>
          <w:rFonts w:ascii="Book Antiqua" w:hAnsi="Book Antiqua"/>
          <w:b/>
          <w:bCs/>
          <w:sz w:val="26"/>
          <w:szCs w:val="26"/>
        </w:rPr>
        <w:t>FROM:</w:t>
      </w:r>
      <w:r w:rsidRPr="009A5DE0">
        <w:rPr>
          <w:rFonts w:ascii="Book Antiqua" w:hAnsi="Book Antiqua"/>
          <w:b/>
          <w:bCs/>
          <w:sz w:val="26"/>
          <w:szCs w:val="26"/>
        </w:rPr>
        <w:tab/>
        <w:t xml:space="preserve">Phillip C. </w:t>
      </w:r>
      <w:proofErr w:type="spellStart"/>
      <w:r w:rsidRPr="009A5DE0">
        <w:rPr>
          <w:rFonts w:ascii="Book Antiqua" w:hAnsi="Book Antiqua"/>
          <w:b/>
          <w:bCs/>
          <w:sz w:val="26"/>
          <w:szCs w:val="26"/>
        </w:rPr>
        <w:t>Querin</w:t>
      </w:r>
      <w:proofErr w:type="spellEnd"/>
      <w:r w:rsidRPr="009A5DE0">
        <w:rPr>
          <w:rFonts w:ascii="Book Antiqua" w:hAnsi="Book Antiqua"/>
          <w:b/>
          <w:bCs/>
          <w:sz w:val="26"/>
          <w:szCs w:val="26"/>
        </w:rPr>
        <w:t>, QUERIN LAW, LLC</w:t>
      </w:r>
    </w:p>
    <w:p w14:paraId="3F8FFA80" w14:textId="6D4DDA31" w:rsidR="00857316" w:rsidRPr="009A5DE0" w:rsidRDefault="00857316" w:rsidP="00A84FB6">
      <w:pPr>
        <w:shd w:val="clear" w:color="auto" w:fill="FFFFFF"/>
        <w:spacing w:after="150" w:line="180" w:lineRule="atLeast"/>
        <w:jc w:val="both"/>
        <w:rPr>
          <w:rFonts w:ascii="Book Antiqua" w:hAnsi="Book Antiqua"/>
          <w:b/>
          <w:bCs/>
          <w:sz w:val="26"/>
          <w:szCs w:val="26"/>
        </w:rPr>
      </w:pPr>
      <w:r w:rsidRPr="009A5DE0">
        <w:rPr>
          <w:rFonts w:ascii="Book Antiqua" w:hAnsi="Book Antiqua"/>
          <w:b/>
          <w:bCs/>
          <w:sz w:val="26"/>
          <w:szCs w:val="26"/>
        </w:rPr>
        <w:t>RE:</w:t>
      </w:r>
      <w:r w:rsidRPr="009A5DE0">
        <w:rPr>
          <w:rFonts w:ascii="Book Antiqua" w:hAnsi="Book Antiqua"/>
          <w:b/>
          <w:bCs/>
          <w:sz w:val="26"/>
          <w:szCs w:val="26"/>
        </w:rPr>
        <w:tab/>
        <w:t>Analysis of Senate Bill 891 (Special Session)</w:t>
      </w:r>
    </w:p>
    <w:p w14:paraId="6193765E" w14:textId="12BA9329" w:rsidR="00857316" w:rsidRPr="009A5DE0" w:rsidRDefault="00857316" w:rsidP="00A84FB6">
      <w:pPr>
        <w:shd w:val="clear" w:color="auto" w:fill="FFFFFF"/>
        <w:spacing w:after="150" w:line="180" w:lineRule="atLeast"/>
        <w:jc w:val="both"/>
        <w:rPr>
          <w:rFonts w:ascii="Book Antiqua" w:eastAsia="Times New Roman" w:hAnsi="Book Antiqua" w:cs="Times New Roman"/>
          <w:b/>
          <w:bCs/>
          <w:iCs/>
          <w:u w:val="double"/>
        </w:rPr>
      </w:pPr>
      <w:r w:rsidRPr="009A5DE0">
        <w:rPr>
          <w:rFonts w:ascii="Book Antiqua" w:hAnsi="Book Antiqua"/>
          <w:b/>
          <w:bCs/>
          <w:sz w:val="26"/>
          <w:szCs w:val="26"/>
        </w:rPr>
        <w:t>DATE: June 2021 the Oregon</w:t>
      </w:r>
    </w:p>
    <w:p w14:paraId="05619289" w14:textId="09E2EC64" w:rsidR="00A84FB6" w:rsidRPr="00237F8C" w:rsidRDefault="00A84FB6" w:rsidP="00A84FB6">
      <w:pPr>
        <w:shd w:val="clear" w:color="auto" w:fill="FFFFFF"/>
        <w:spacing w:after="150" w:line="180" w:lineRule="atLeast"/>
        <w:jc w:val="both"/>
        <w:rPr>
          <w:rFonts w:ascii="Book Antiqua" w:eastAsia="Times New Roman" w:hAnsi="Book Antiqua" w:cs="Times New Roman"/>
          <w:b/>
          <w:i/>
          <w:u w:val="double"/>
        </w:rPr>
      </w:pPr>
      <w:r w:rsidRPr="00237F8C">
        <w:rPr>
          <w:rFonts w:ascii="Book Antiqua" w:eastAsia="Times New Roman" w:hAnsi="Book Antiqua" w:cs="Times New Roman"/>
          <w:b/>
          <w:i/>
          <w:u w:val="double"/>
        </w:rPr>
        <w:t>_____________________________________________________________________________</w:t>
      </w:r>
    </w:p>
    <w:p w14:paraId="5FF3BD61" w14:textId="4B4AE6FE" w:rsidR="00237F8C" w:rsidRPr="00237F8C" w:rsidRDefault="00237F8C" w:rsidP="00237F8C">
      <w:pPr>
        <w:spacing w:line="360" w:lineRule="exact"/>
        <w:jc w:val="both"/>
        <w:rPr>
          <w:rFonts w:ascii="Book Antiqua" w:hAnsi="Book Antiqua"/>
          <w:sz w:val="26"/>
          <w:szCs w:val="26"/>
        </w:rPr>
      </w:pPr>
      <w:r w:rsidRPr="00237F8C">
        <w:rPr>
          <w:rFonts w:ascii="Book Antiqua" w:hAnsi="Book Antiqua"/>
          <w:b/>
          <w:bCs/>
          <w:i/>
          <w:iCs/>
          <w:sz w:val="26"/>
          <w:szCs w:val="26"/>
        </w:rPr>
        <w:t>Background.</w:t>
      </w:r>
      <w:r w:rsidRPr="00237F8C">
        <w:rPr>
          <w:rFonts w:ascii="Book Antiqua" w:hAnsi="Book Antiqua"/>
          <w:sz w:val="26"/>
          <w:szCs w:val="26"/>
        </w:rPr>
        <w:t xml:space="preserve"> In Mid-</w:t>
      </w:r>
      <w:r w:rsidR="00A057F5" w:rsidRPr="00237F8C">
        <w:rPr>
          <w:rFonts w:ascii="Book Antiqua" w:hAnsi="Book Antiqua"/>
          <w:sz w:val="26"/>
          <w:szCs w:val="26"/>
        </w:rPr>
        <w:t>June 2021,</w:t>
      </w:r>
      <w:r w:rsidRPr="00237F8C">
        <w:rPr>
          <w:rFonts w:ascii="Book Antiqua" w:hAnsi="Book Antiqua"/>
          <w:sz w:val="26"/>
          <w:szCs w:val="26"/>
        </w:rPr>
        <w:t xml:space="preserve"> the Oregon Legislature passed SB 278 which accomplished two major things with respect to nonpayment of rents, fees, and charges occurring after the end of the original eviction Moratorium on June 30, 2021. </w:t>
      </w:r>
    </w:p>
    <w:p w14:paraId="24B5191E" w14:textId="77777777" w:rsidR="00237F8C" w:rsidRPr="00237F8C" w:rsidRDefault="00237F8C" w:rsidP="00237F8C">
      <w:pPr>
        <w:spacing w:line="360" w:lineRule="exact"/>
        <w:jc w:val="both"/>
        <w:rPr>
          <w:rFonts w:ascii="Book Antiqua" w:hAnsi="Book Antiqua"/>
          <w:sz w:val="26"/>
          <w:szCs w:val="26"/>
        </w:rPr>
      </w:pPr>
    </w:p>
    <w:p w14:paraId="5291566F" w14:textId="06A5406C" w:rsidR="00237F8C" w:rsidRPr="00237F8C" w:rsidRDefault="00237F8C" w:rsidP="00237F8C">
      <w:pPr>
        <w:pStyle w:val="ListParagraph"/>
        <w:numPr>
          <w:ilvl w:val="0"/>
          <w:numId w:val="9"/>
        </w:numPr>
        <w:spacing w:line="360" w:lineRule="exact"/>
        <w:contextualSpacing/>
        <w:jc w:val="both"/>
        <w:rPr>
          <w:sz w:val="26"/>
          <w:szCs w:val="26"/>
        </w:rPr>
      </w:pPr>
      <w:r w:rsidRPr="00237F8C">
        <w:rPr>
          <w:sz w:val="26"/>
          <w:szCs w:val="26"/>
        </w:rPr>
        <w:t>It provided a 60-day window (or 90-day window in Multnomah County</w:t>
      </w:r>
      <w:r w:rsidRPr="00237F8C">
        <w:rPr>
          <w:rStyle w:val="FootnoteReference"/>
          <w:sz w:val="26"/>
          <w:szCs w:val="26"/>
        </w:rPr>
        <w:footnoteReference w:id="1"/>
      </w:r>
      <w:r w:rsidRPr="00237F8C">
        <w:rPr>
          <w:sz w:val="26"/>
          <w:szCs w:val="26"/>
        </w:rPr>
        <w:t xml:space="preserve">) during which a tenant </w:t>
      </w:r>
      <w:r w:rsidRPr="00417A89">
        <w:rPr>
          <w:i/>
          <w:iCs/>
          <w:sz w:val="26"/>
          <w:szCs w:val="26"/>
        </w:rPr>
        <w:t>seeking rental assistance</w:t>
      </w:r>
      <w:r w:rsidRPr="00237F8C">
        <w:rPr>
          <w:sz w:val="26"/>
          <w:szCs w:val="26"/>
        </w:rPr>
        <w:t xml:space="preserve"> c</w:t>
      </w:r>
      <w:r w:rsidR="00103F71">
        <w:rPr>
          <w:sz w:val="26"/>
          <w:szCs w:val="26"/>
        </w:rPr>
        <w:t xml:space="preserve">ould not </w:t>
      </w:r>
      <w:r w:rsidRPr="00237F8C">
        <w:rPr>
          <w:sz w:val="26"/>
          <w:szCs w:val="26"/>
        </w:rPr>
        <w:t>be evicted for nonpayment of current</w:t>
      </w:r>
      <w:r w:rsidR="00103F71">
        <w:rPr>
          <w:sz w:val="26"/>
          <w:szCs w:val="26"/>
        </w:rPr>
        <w:t xml:space="preserve"> rent</w:t>
      </w:r>
      <w:r w:rsidRPr="00237F8C">
        <w:rPr>
          <w:sz w:val="26"/>
          <w:szCs w:val="26"/>
        </w:rPr>
        <w:t xml:space="preserve"> (i.e.</w:t>
      </w:r>
      <w:r w:rsidR="00417A89">
        <w:rPr>
          <w:sz w:val="26"/>
          <w:szCs w:val="26"/>
        </w:rPr>
        <w:t>,</w:t>
      </w:r>
      <w:r w:rsidRPr="00237F8C">
        <w:rPr>
          <w:sz w:val="26"/>
          <w:szCs w:val="26"/>
        </w:rPr>
        <w:t xml:space="preserve"> non-moratorium related</w:t>
      </w:r>
      <w:r w:rsidR="00103F71">
        <w:rPr>
          <w:sz w:val="26"/>
          <w:szCs w:val="26"/>
        </w:rPr>
        <w:t xml:space="preserve"> rents, charges and fees</w:t>
      </w:r>
      <w:r w:rsidRPr="00237F8C">
        <w:rPr>
          <w:sz w:val="26"/>
          <w:szCs w:val="26"/>
        </w:rPr>
        <w:t xml:space="preserve">; and </w:t>
      </w:r>
    </w:p>
    <w:p w14:paraId="2CADC58E" w14:textId="4CBD0C75" w:rsidR="00237F8C" w:rsidRPr="00237F8C" w:rsidRDefault="00237F8C" w:rsidP="00237F8C">
      <w:pPr>
        <w:pStyle w:val="ListParagraph"/>
        <w:numPr>
          <w:ilvl w:val="0"/>
          <w:numId w:val="9"/>
        </w:numPr>
        <w:spacing w:line="360" w:lineRule="exact"/>
        <w:contextualSpacing/>
        <w:jc w:val="both"/>
        <w:rPr>
          <w:sz w:val="26"/>
          <w:szCs w:val="26"/>
        </w:rPr>
      </w:pPr>
      <w:r w:rsidRPr="00237F8C">
        <w:rPr>
          <w:sz w:val="26"/>
          <w:szCs w:val="26"/>
        </w:rPr>
        <w:t xml:space="preserve">It </w:t>
      </w:r>
      <w:r w:rsidR="00103F71">
        <w:rPr>
          <w:sz w:val="26"/>
          <w:szCs w:val="26"/>
        </w:rPr>
        <w:t>authorized O</w:t>
      </w:r>
      <w:r w:rsidRPr="00237F8C">
        <w:rPr>
          <w:sz w:val="26"/>
          <w:szCs w:val="26"/>
        </w:rPr>
        <w:t>regon Housing and Community Services to establish a process for landlords impacted by th</w:t>
      </w:r>
      <w:r w:rsidR="00417A89">
        <w:rPr>
          <w:sz w:val="26"/>
          <w:szCs w:val="26"/>
        </w:rPr>
        <w:t>is</w:t>
      </w:r>
      <w:r w:rsidRPr="00237F8C">
        <w:rPr>
          <w:sz w:val="26"/>
          <w:szCs w:val="26"/>
        </w:rPr>
        <w:t xml:space="preserve"> 60-day delay to recoup lost rents, charges and fees </w:t>
      </w:r>
      <w:r w:rsidRPr="00103F71">
        <w:rPr>
          <w:i/>
          <w:iCs/>
          <w:sz w:val="26"/>
          <w:szCs w:val="26"/>
        </w:rPr>
        <w:t>if the tenant did not qualify for rental assistance</w:t>
      </w:r>
      <w:r w:rsidRPr="00237F8C">
        <w:rPr>
          <w:sz w:val="26"/>
          <w:szCs w:val="26"/>
        </w:rPr>
        <w:t>.</w:t>
      </w:r>
    </w:p>
    <w:p w14:paraId="21809B46" w14:textId="77777777" w:rsidR="00237F8C" w:rsidRPr="00237F8C" w:rsidRDefault="00237F8C" w:rsidP="00237F8C">
      <w:pPr>
        <w:spacing w:line="360" w:lineRule="exact"/>
        <w:jc w:val="both"/>
        <w:rPr>
          <w:rFonts w:ascii="Book Antiqua" w:hAnsi="Book Antiqua"/>
          <w:sz w:val="26"/>
          <w:szCs w:val="26"/>
        </w:rPr>
      </w:pPr>
    </w:p>
    <w:p w14:paraId="5DD1993B" w14:textId="38C65E91" w:rsidR="00237F8C" w:rsidRPr="00F244DE" w:rsidRDefault="00237F8C" w:rsidP="00237F8C">
      <w:pPr>
        <w:spacing w:line="360" w:lineRule="exact"/>
        <w:jc w:val="both"/>
        <w:rPr>
          <w:rFonts w:ascii="Book Antiqua" w:hAnsi="Book Antiqua"/>
          <w:b/>
          <w:bCs/>
          <w:sz w:val="26"/>
          <w:szCs w:val="26"/>
        </w:rPr>
      </w:pPr>
      <w:r w:rsidRPr="00237F8C">
        <w:rPr>
          <w:rFonts w:ascii="Book Antiqua" w:hAnsi="Book Antiqua"/>
          <w:sz w:val="26"/>
          <w:szCs w:val="26"/>
        </w:rPr>
        <w:t>Th</w:t>
      </w:r>
      <w:r w:rsidR="00417A89">
        <w:rPr>
          <w:rFonts w:ascii="Book Antiqua" w:hAnsi="Book Antiqua"/>
          <w:sz w:val="26"/>
          <w:szCs w:val="26"/>
        </w:rPr>
        <w:t xml:space="preserve">is </w:t>
      </w:r>
      <w:r w:rsidRPr="00237F8C">
        <w:rPr>
          <w:rFonts w:ascii="Book Antiqua" w:hAnsi="Book Antiqua"/>
          <w:sz w:val="26"/>
          <w:szCs w:val="26"/>
        </w:rPr>
        <w:t xml:space="preserve">60/90 day </w:t>
      </w:r>
      <w:r w:rsidR="00103F71">
        <w:rPr>
          <w:rFonts w:ascii="Book Antiqua" w:hAnsi="Book Antiqua"/>
          <w:sz w:val="26"/>
          <w:szCs w:val="26"/>
        </w:rPr>
        <w:t>“</w:t>
      </w:r>
      <w:r w:rsidRPr="00237F8C">
        <w:rPr>
          <w:rFonts w:ascii="Book Antiqua" w:hAnsi="Book Antiqua"/>
          <w:sz w:val="26"/>
          <w:szCs w:val="26"/>
        </w:rPr>
        <w:t>pause</w:t>
      </w:r>
      <w:r w:rsidR="00103F71">
        <w:rPr>
          <w:rFonts w:ascii="Book Antiqua" w:hAnsi="Book Antiqua"/>
          <w:sz w:val="26"/>
          <w:szCs w:val="26"/>
        </w:rPr>
        <w:t>”</w:t>
      </w:r>
      <w:r w:rsidRPr="00237F8C">
        <w:rPr>
          <w:rFonts w:ascii="Book Antiqua" w:hAnsi="Book Antiqua"/>
          <w:sz w:val="26"/>
          <w:szCs w:val="26"/>
        </w:rPr>
        <w:t xml:space="preserve"> on the eviction process was meant to provide time for the agencies screening and administering rental assistance to process applications </w:t>
      </w:r>
      <w:r w:rsidR="00417A89">
        <w:rPr>
          <w:rFonts w:ascii="Book Antiqua" w:hAnsi="Book Antiqua"/>
          <w:sz w:val="26"/>
          <w:szCs w:val="26"/>
        </w:rPr>
        <w:t xml:space="preserve">for assistance </w:t>
      </w:r>
      <w:r w:rsidRPr="00237F8C">
        <w:rPr>
          <w:rFonts w:ascii="Book Antiqua" w:hAnsi="Book Antiqua"/>
          <w:sz w:val="26"/>
          <w:szCs w:val="26"/>
        </w:rPr>
        <w:t xml:space="preserve">and distribute funds. The system was quickly overwhelmed and nearly all </w:t>
      </w:r>
      <w:r w:rsidR="00417A89">
        <w:rPr>
          <w:rFonts w:ascii="Book Antiqua" w:hAnsi="Book Antiqua"/>
          <w:sz w:val="26"/>
          <w:szCs w:val="26"/>
        </w:rPr>
        <w:t xml:space="preserve"> the available </w:t>
      </w:r>
      <w:r w:rsidRPr="00237F8C">
        <w:rPr>
          <w:rFonts w:ascii="Book Antiqua" w:hAnsi="Book Antiqua"/>
          <w:sz w:val="26"/>
          <w:szCs w:val="26"/>
        </w:rPr>
        <w:t xml:space="preserve">$289 Federal assistance </w:t>
      </w:r>
      <w:r w:rsidR="00417A89">
        <w:rPr>
          <w:rFonts w:ascii="Book Antiqua" w:hAnsi="Book Antiqua"/>
          <w:sz w:val="26"/>
          <w:szCs w:val="26"/>
        </w:rPr>
        <w:t xml:space="preserve">was </w:t>
      </w:r>
      <w:r w:rsidRPr="00237F8C">
        <w:rPr>
          <w:rFonts w:ascii="Book Antiqua" w:hAnsi="Book Antiqua"/>
          <w:sz w:val="26"/>
          <w:szCs w:val="26"/>
        </w:rPr>
        <w:t>committed, with less than half of th</w:t>
      </w:r>
      <w:r w:rsidR="00417A89">
        <w:rPr>
          <w:rFonts w:ascii="Book Antiqua" w:hAnsi="Book Antiqua"/>
          <w:sz w:val="26"/>
          <w:szCs w:val="26"/>
        </w:rPr>
        <w:t xml:space="preserve">e funds </w:t>
      </w:r>
      <w:r w:rsidRPr="00237F8C">
        <w:rPr>
          <w:rFonts w:ascii="Book Antiqua" w:hAnsi="Book Antiqua"/>
          <w:sz w:val="26"/>
          <w:szCs w:val="26"/>
        </w:rPr>
        <w:t>having been distributed as of late November</w:t>
      </w:r>
      <w:r w:rsidR="00417A89">
        <w:rPr>
          <w:rFonts w:ascii="Book Antiqua" w:hAnsi="Book Antiqua"/>
          <w:sz w:val="26"/>
          <w:szCs w:val="26"/>
        </w:rPr>
        <w:t xml:space="preserve"> 2021</w:t>
      </w:r>
      <w:r w:rsidRPr="00237F8C">
        <w:rPr>
          <w:rFonts w:ascii="Book Antiqua" w:hAnsi="Book Antiqua"/>
          <w:sz w:val="26"/>
          <w:szCs w:val="26"/>
        </w:rPr>
        <w:t xml:space="preserve">. The Oregon Emergency </w:t>
      </w:r>
      <w:r w:rsidRPr="00237F8C">
        <w:rPr>
          <w:rFonts w:ascii="Book Antiqua" w:hAnsi="Book Antiqua"/>
          <w:sz w:val="26"/>
          <w:szCs w:val="26"/>
        </w:rPr>
        <w:lastRenderedPageBreak/>
        <w:t xml:space="preserve">Rental Assistance Program has since </w:t>
      </w:r>
      <w:r w:rsidR="00417A89">
        <w:rPr>
          <w:rFonts w:ascii="Book Antiqua" w:hAnsi="Book Antiqua"/>
          <w:sz w:val="26"/>
          <w:szCs w:val="26"/>
        </w:rPr>
        <w:t xml:space="preserve">halted </w:t>
      </w:r>
      <w:r w:rsidRPr="00237F8C">
        <w:rPr>
          <w:rFonts w:ascii="Book Antiqua" w:hAnsi="Book Antiqua"/>
          <w:sz w:val="26"/>
          <w:szCs w:val="26"/>
        </w:rPr>
        <w:t xml:space="preserve">the acceptance of applications for at least six weeks </w:t>
      </w:r>
      <w:r w:rsidR="00417A89">
        <w:rPr>
          <w:rFonts w:ascii="Book Antiqua" w:hAnsi="Book Antiqua"/>
          <w:sz w:val="26"/>
          <w:szCs w:val="26"/>
        </w:rPr>
        <w:t xml:space="preserve">beginning on </w:t>
      </w:r>
      <w:r w:rsidRPr="00237F8C">
        <w:rPr>
          <w:rFonts w:ascii="Book Antiqua" w:hAnsi="Book Antiqua"/>
          <w:sz w:val="26"/>
          <w:szCs w:val="26"/>
        </w:rPr>
        <w:t xml:space="preserve">December 1, 2021 at 11:59 </w:t>
      </w:r>
      <w:r w:rsidR="00D34362" w:rsidRPr="00774F2F">
        <w:rPr>
          <w:rFonts w:ascii="Book Antiqua" w:hAnsi="Book Antiqua"/>
          <w:sz w:val="26"/>
          <w:szCs w:val="26"/>
        </w:rPr>
        <w:t>pm</w:t>
      </w:r>
      <w:r w:rsidRPr="00774F2F">
        <w:rPr>
          <w:rFonts w:ascii="Book Antiqua" w:hAnsi="Book Antiqua"/>
          <w:sz w:val="26"/>
          <w:szCs w:val="26"/>
        </w:rPr>
        <w:t>.</w:t>
      </w:r>
      <w:r w:rsidRPr="00237F8C">
        <w:rPr>
          <w:rFonts w:ascii="Book Antiqua" w:hAnsi="Book Antiqua"/>
          <w:sz w:val="26"/>
          <w:szCs w:val="26"/>
        </w:rPr>
        <w:t xml:space="preserve"> </w:t>
      </w:r>
    </w:p>
    <w:p w14:paraId="4CF04D3E" w14:textId="77777777" w:rsidR="00237F8C" w:rsidRPr="00237F8C" w:rsidRDefault="00237F8C" w:rsidP="00237F8C">
      <w:pPr>
        <w:spacing w:line="360" w:lineRule="exact"/>
        <w:jc w:val="both"/>
        <w:rPr>
          <w:rFonts w:ascii="Book Antiqua" w:hAnsi="Book Antiqua"/>
          <w:sz w:val="26"/>
          <w:szCs w:val="26"/>
        </w:rPr>
      </w:pPr>
    </w:p>
    <w:p w14:paraId="74306DD2" w14:textId="18326455" w:rsidR="00237F8C" w:rsidRPr="00237F8C" w:rsidRDefault="00417A89" w:rsidP="00237F8C">
      <w:pPr>
        <w:spacing w:line="360" w:lineRule="exact"/>
        <w:jc w:val="both"/>
        <w:rPr>
          <w:rFonts w:ascii="Book Antiqua" w:hAnsi="Book Antiqua"/>
          <w:sz w:val="26"/>
          <w:szCs w:val="26"/>
        </w:rPr>
      </w:pPr>
      <w:r w:rsidRPr="00417A89">
        <w:rPr>
          <w:rFonts w:ascii="Book Antiqua" w:hAnsi="Book Antiqua"/>
          <w:b/>
          <w:bCs/>
          <w:i/>
          <w:iCs/>
          <w:sz w:val="26"/>
          <w:szCs w:val="26"/>
        </w:rPr>
        <w:t xml:space="preserve">Senate Bill </w:t>
      </w:r>
      <w:r w:rsidR="00237F8C" w:rsidRPr="00417A89">
        <w:rPr>
          <w:rFonts w:ascii="Book Antiqua" w:hAnsi="Book Antiqua"/>
          <w:b/>
          <w:bCs/>
          <w:i/>
          <w:iCs/>
          <w:sz w:val="26"/>
          <w:szCs w:val="26"/>
        </w:rPr>
        <w:t>891</w:t>
      </w:r>
      <w:r w:rsidR="00A057F5">
        <w:rPr>
          <w:rFonts w:ascii="Book Antiqua" w:hAnsi="Book Antiqua"/>
          <w:b/>
          <w:bCs/>
          <w:i/>
          <w:iCs/>
          <w:sz w:val="26"/>
          <w:szCs w:val="26"/>
        </w:rPr>
        <w:t xml:space="preserve"> Discussion</w:t>
      </w:r>
      <w:r w:rsidRPr="00417A89">
        <w:rPr>
          <w:rFonts w:ascii="Book Antiqua" w:hAnsi="Book Antiqua"/>
          <w:b/>
          <w:bCs/>
          <w:i/>
          <w:iCs/>
          <w:sz w:val="26"/>
          <w:szCs w:val="26"/>
        </w:rPr>
        <w:t>.</w:t>
      </w:r>
      <w:r w:rsidR="00237F8C" w:rsidRPr="00417A89">
        <w:rPr>
          <w:rFonts w:ascii="Book Antiqua" w:hAnsi="Book Antiqua"/>
          <w:b/>
          <w:bCs/>
          <w:i/>
          <w:iCs/>
          <w:sz w:val="26"/>
          <w:szCs w:val="26"/>
        </w:rPr>
        <w:t xml:space="preserve"> </w:t>
      </w:r>
      <w:r w:rsidR="00170BB4">
        <w:rPr>
          <w:rFonts w:ascii="Book Antiqua" w:hAnsi="Book Antiqua"/>
          <w:sz w:val="26"/>
          <w:szCs w:val="26"/>
        </w:rPr>
        <w:t xml:space="preserve">On December 13, 2021, Governor Brown </w:t>
      </w:r>
      <w:r w:rsidR="00237F8C" w:rsidRPr="00237F8C">
        <w:rPr>
          <w:rFonts w:ascii="Book Antiqua" w:hAnsi="Book Antiqua"/>
          <w:sz w:val="26"/>
          <w:szCs w:val="26"/>
        </w:rPr>
        <w:t xml:space="preserve">The legislature has convened a special session to address the ongoing housing crisis, citing the fact that “the need for rental assistance and eviction protection resources has outpaced available resources.” </w:t>
      </w:r>
    </w:p>
    <w:p w14:paraId="00F2153E" w14:textId="77777777" w:rsidR="00237F8C" w:rsidRPr="00237F8C" w:rsidRDefault="00237F8C" w:rsidP="00237F8C">
      <w:pPr>
        <w:spacing w:line="360" w:lineRule="exact"/>
        <w:jc w:val="both"/>
        <w:rPr>
          <w:rFonts w:ascii="Book Antiqua" w:hAnsi="Book Antiqua"/>
          <w:sz w:val="26"/>
          <w:szCs w:val="26"/>
        </w:rPr>
      </w:pPr>
    </w:p>
    <w:p w14:paraId="62259A0D" w14:textId="4DDAA145" w:rsidR="00237F8C" w:rsidRDefault="00237F8C" w:rsidP="00237F8C">
      <w:pPr>
        <w:spacing w:line="360" w:lineRule="exact"/>
        <w:jc w:val="both"/>
        <w:rPr>
          <w:rFonts w:ascii="Book Antiqua" w:hAnsi="Book Antiqua"/>
          <w:sz w:val="26"/>
          <w:szCs w:val="26"/>
        </w:rPr>
      </w:pPr>
      <w:r w:rsidRPr="00237F8C">
        <w:rPr>
          <w:rFonts w:ascii="Book Antiqua" w:hAnsi="Book Antiqua"/>
          <w:sz w:val="26"/>
          <w:szCs w:val="26"/>
        </w:rPr>
        <w:t xml:space="preserve">SB 891 accomplishes </w:t>
      </w:r>
      <w:r w:rsidR="00DB520A">
        <w:rPr>
          <w:rFonts w:ascii="Book Antiqua" w:hAnsi="Book Antiqua"/>
          <w:sz w:val="26"/>
          <w:szCs w:val="26"/>
        </w:rPr>
        <w:t xml:space="preserve">several </w:t>
      </w:r>
      <w:r w:rsidRPr="00237F8C">
        <w:rPr>
          <w:rFonts w:ascii="Book Antiqua" w:hAnsi="Book Antiqua"/>
          <w:sz w:val="26"/>
          <w:szCs w:val="26"/>
        </w:rPr>
        <w:t>things:</w:t>
      </w:r>
    </w:p>
    <w:p w14:paraId="6E44918B" w14:textId="77777777" w:rsidR="005A5ED7" w:rsidRPr="00237F8C" w:rsidRDefault="005A5ED7" w:rsidP="00237F8C">
      <w:pPr>
        <w:spacing w:line="360" w:lineRule="exact"/>
        <w:jc w:val="both"/>
        <w:rPr>
          <w:rFonts w:ascii="Book Antiqua" w:hAnsi="Book Antiqua"/>
          <w:sz w:val="26"/>
          <w:szCs w:val="26"/>
        </w:rPr>
      </w:pPr>
    </w:p>
    <w:p w14:paraId="2B59A822" w14:textId="77777777" w:rsidR="00DB520A" w:rsidRDefault="00237F8C" w:rsidP="00237F8C">
      <w:pPr>
        <w:pStyle w:val="ListParagraph"/>
        <w:numPr>
          <w:ilvl w:val="0"/>
          <w:numId w:val="10"/>
        </w:numPr>
        <w:spacing w:line="360" w:lineRule="exact"/>
        <w:contextualSpacing/>
        <w:jc w:val="both"/>
        <w:rPr>
          <w:sz w:val="26"/>
          <w:szCs w:val="26"/>
        </w:rPr>
      </w:pPr>
      <w:r w:rsidRPr="00237F8C">
        <w:rPr>
          <w:sz w:val="26"/>
          <w:szCs w:val="26"/>
        </w:rPr>
        <w:t>It modifies SB 278 to redefine the period of protection from eviction</w:t>
      </w:r>
      <w:r w:rsidR="00DB520A">
        <w:rPr>
          <w:sz w:val="26"/>
          <w:szCs w:val="26"/>
        </w:rPr>
        <w:t>;</w:t>
      </w:r>
    </w:p>
    <w:p w14:paraId="177BC760" w14:textId="4595008B" w:rsidR="00DB520A" w:rsidRDefault="00DB520A" w:rsidP="00237F8C">
      <w:pPr>
        <w:pStyle w:val="ListParagraph"/>
        <w:numPr>
          <w:ilvl w:val="0"/>
          <w:numId w:val="10"/>
        </w:numPr>
        <w:spacing w:line="360" w:lineRule="exact"/>
        <w:contextualSpacing/>
        <w:jc w:val="both"/>
        <w:rPr>
          <w:sz w:val="26"/>
          <w:szCs w:val="26"/>
        </w:rPr>
      </w:pPr>
      <w:r>
        <w:rPr>
          <w:sz w:val="26"/>
          <w:szCs w:val="26"/>
        </w:rPr>
        <w:t>E</w:t>
      </w:r>
      <w:r w:rsidR="00237F8C" w:rsidRPr="00237F8C">
        <w:rPr>
          <w:sz w:val="26"/>
          <w:szCs w:val="26"/>
        </w:rPr>
        <w:t xml:space="preserve">xtends the </w:t>
      </w:r>
      <w:r w:rsidR="0068673F">
        <w:rPr>
          <w:sz w:val="26"/>
          <w:szCs w:val="26"/>
        </w:rPr>
        <w:t>“</w:t>
      </w:r>
      <w:r w:rsidR="00237F8C" w:rsidRPr="00237F8C">
        <w:rPr>
          <w:sz w:val="26"/>
          <w:szCs w:val="26"/>
        </w:rPr>
        <w:t>safe harbor</w:t>
      </w:r>
      <w:r w:rsidR="0068673F">
        <w:rPr>
          <w:sz w:val="26"/>
          <w:szCs w:val="26"/>
        </w:rPr>
        <w:t>”</w:t>
      </w:r>
      <w:r w:rsidR="00237F8C" w:rsidRPr="00237F8C">
        <w:rPr>
          <w:sz w:val="26"/>
          <w:szCs w:val="26"/>
        </w:rPr>
        <w:t xml:space="preserve"> deadline</w:t>
      </w:r>
      <w:r w:rsidR="0068673F" w:rsidRPr="00DB520A">
        <w:rPr>
          <w:sz w:val="26"/>
          <w:szCs w:val="26"/>
        </w:rPr>
        <w:t xml:space="preserve"> </w:t>
      </w:r>
      <w:r w:rsidR="0043551D" w:rsidRPr="00DB520A">
        <w:rPr>
          <w:sz w:val="26"/>
          <w:szCs w:val="26"/>
        </w:rPr>
        <w:t>for tenants who are applying for rental assistance</w:t>
      </w:r>
      <w:r>
        <w:rPr>
          <w:sz w:val="26"/>
          <w:szCs w:val="26"/>
        </w:rPr>
        <w:t xml:space="preserve"> </w:t>
      </w:r>
      <w:r w:rsidR="0043551D" w:rsidRPr="00DB520A">
        <w:rPr>
          <w:sz w:val="26"/>
          <w:szCs w:val="26"/>
        </w:rPr>
        <w:t>from February 28,</w:t>
      </w:r>
      <w:r w:rsidR="0043551D">
        <w:rPr>
          <w:sz w:val="26"/>
          <w:szCs w:val="26"/>
        </w:rPr>
        <w:t xml:space="preserve"> 2022 to June 30, 2022</w:t>
      </w:r>
      <w:r>
        <w:rPr>
          <w:sz w:val="26"/>
          <w:szCs w:val="26"/>
        </w:rPr>
        <w:t>;</w:t>
      </w:r>
      <w:r w:rsidR="004238B2">
        <w:rPr>
          <w:rStyle w:val="FootnoteReference"/>
          <w:sz w:val="26"/>
          <w:szCs w:val="26"/>
        </w:rPr>
        <w:footnoteReference w:id="2"/>
      </w:r>
    </w:p>
    <w:p w14:paraId="5793DD35" w14:textId="08BE6DB7" w:rsidR="00237F8C" w:rsidRPr="00237F8C" w:rsidRDefault="00DB520A" w:rsidP="00237F8C">
      <w:pPr>
        <w:pStyle w:val="ListParagraph"/>
        <w:numPr>
          <w:ilvl w:val="0"/>
          <w:numId w:val="10"/>
        </w:numPr>
        <w:spacing w:line="360" w:lineRule="exact"/>
        <w:contextualSpacing/>
        <w:jc w:val="both"/>
        <w:rPr>
          <w:sz w:val="26"/>
          <w:szCs w:val="26"/>
        </w:rPr>
      </w:pPr>
      <w:r>
        <w:rPr>
          <w:sz w:val="26"/>
          <w:szCs w:val="26"/>
        </w:rPr>
        <w:t>M</w:t>
      </w:r>
      <w:r w:rsidR="00237F8C" w:rsidRPr="00237F8C">
        <w:rPr>
          <w:sz w:val="26"/>
          <w:szCs w:val="26"/>
        </w:rPr>
        <w:t xml:space="preserve">odifies the language of the required </w:t>
      </w:r>
      <w:r w:rsidR="0068673F">
        <w:rPr>
          <w:sz w:val="26"/>
          <w:szCs w:val="26"/>
        </w:rPr>
        <w:t>E</w:t>
      </w:r>
      <w:r w:rsidR="00237F8C" w:rsidRPr="00237F8C">
        <w:rPr>
          <w:sz w:val="26"/>
          <w:szCs w:val="26"/>
        </w:rPr>
        <w:t xml:space="preserve">viction </w:t>
      </w:r>
      <w:r w:rsidR="0068673F">
        <w:rPr>
          <w:sz w:val="26"/>
          <w:szCs w:val="26"/>
        </w:rPr>
        <w:t>P</w:t>
      </w:r>
      <w:r w:rsidR="00237F8C" w:rsidRPr="00237F8C">
        <w:rPr>
          <w:sz w:val="26"/>
          <w:szCs w:val="26"/>
        </w:rPr>
        <w:t xml:space="preserve">rotection </w:t>
      </w:r>
      <w:r w:rsidR="0068673F">
        <w:rPr>
          <w:sz w:val="26"/>
          <w:szCs w:val="26"/>
        </w:rPr>
        <w:t>No</w:t>
      </w:r>
      <w:r w:rsidR="00237F8C" w:rsidRPr="00237F8C">
        <w:rPr>
          <w:sz w:val="26"/>
          <w:szCs w:val="26"/>
        </w:rPr>
        <w:t>tice</w:t>
      </w:r>
      <w:r w:rsidR="0068673F">
        <w:rPr>
          <w:sz w:val="26"/>
          <w:szCs w:val="26"/>
        </w:rPr>
        <w:t xml:space="preserve"> (MHCO Form N</w:t>
      </w:r>
      <w:r w:rsidR="0068673F" w:rsidRPr="002229E5">
        <w:rPr>
          <w:sz w:val="26"/>
          <w:szCs w:val="26"/>
        </w:rPr>
        <w:t>o</w:t>
      </w:r>
      <w:r w:rsidR="000516AE">
        <w:rPr>
          <w:sz w:val="26"/>
          <w:szCs w:val="26"/>
        </w:rPr>
        <w:t>. 111)</w:t>
      </w:r>
      <w:r w:rsidR="00237F8C" w:rsidRPr="00237F8C">
        <w:rPr>
          <w:sz w:val="26"/>
          <w:szCs w:val="26"/>
        </w:rPr>
        <w:t xml:space="preserve">; </w:t>
      </w:r>
    </w:p>
    <w:p w14:paraId="5E9A228D" w14:textId="06D9E582" w:rsidR="00237F8C" w:rsidRPr="00237F8C" w:rsidRDefault="00DB520A" w:rsidP="00237F8C">
      <w:pPr>
        <w:pStyle w:val="ListParagraph"/>
        <w:numPr>
          <w:ilvl w:val="0"/>
          <w:numId w:val="10"/>
        </w:numPr>
        <w:spacing w:line="360" w:lineRule="exact"/>
        <w:contextualSpacing/>
        <w:jc w:val="both"/>
        <w:rPr>
          <w:sz w:val="26"/>
          <w:szCs w:val="26"/>
        </w:rPr>
      </w:pPr>
      <w:r>
        <w:rPr>
          <w:sz w:val="26"/>
          <w:szCs w:val="26"/>
        </w:rPr>
        <w:t>P</w:t>
      </w:r>
      <w:r w:rsidR="00237F8C" w:rsidRPr="00237F8C">
        <w:rPr>
          <w:sz w:val="26"/>
          <w:szCs w:val="26"/>
        </w:rPr>
        <w:t xml:space="preserve">rovides additional guidance </w:t>
      </w:r>
      <w:r w:rsidR="00402423">
        <w:rPr>
          <w:sz w:val="26"/>
          <w:szCs w:val="26"/>
        </w:rPr>
        <w:t>for</w:t>
      </w:r>
      <w:r w:rsidR="00237F8C" w:rsidRPr="00237F8C">
        <w:rPr>
          <w:sz w:val="26"/>
          <w:szCs w:val="26"/>
        </w:rPr>
        <w:t xml:space="preserve"> rental assistance providers regarding notifications and processing of applications for assistance</w:t>
      </w:r>
      <w:r w:rsidR="00402423">
        <w:rPr>
          <w:sz w:val="26"/>
          <w:szCs w:val="26"/>
        </w:rPr>
        <w:t>;</w:t>
      </w:r>
      <w:r w:rsidR="00237F8C" w:rsidRPr="00237F8C">
        <w:rPr>
          <w:sz w:val="26"/>
          <w:szCs w:val="26"/>
        </w:rPr>
        <w:t xml:space="preserve"> </w:t>
      </w:r>
    </w:p>
    <w:p w14:paraId="5A2C756E" w14:textId="23161F45" w:rsidR="00237F8C" w:rsidRPr="00237F8C" w:rsidRDefault="00DB520A" w:rsidP="00237F8C">
      <w:pPr>
        <w:pStyle w:val="ListParagraph"/>
        <w:numPr>
          <w:ilvl w:val="0"/>
          <w:numId w:val="10"/>
        </w:numPr>
        <w:spacing w:line="360" w:lineRule="exact"/>
        <w:contextualSpacing/>
        <w:jc w:val="both"/>
        <w:rPr>
          <w:sz w:val="26"/>
          <w:szCs w:val="26"/>
        </w:rPr>
      </w:pPr>
      <w:r>
        <w:rPr>
          <w:sz w:val="26"/>
          <w:szCs w:val="26"/>
        </w:rPr>
        <w:t>Ex</w:t>
      </w:r>
      <w:r w:rsidR="00237F8C" w:rsidRPr="00237F8C">
        <w:rPr>
          <w:sz w:val="26"/>
          <w:szCs w:val="26"/>
        </w:rPr>
        <w:t xml:space="preserve">tends the automatic repeal dates for certain sections of SB 278 </w:t>
      </w:r>
      <w:r w:rsidR="0091127E">
        <w:rPr>
          <w:sz w:val="26"/>
          <w:szCs w:val="26"/>
        </w:rPr>
        <w:t>(</w:t>
      </w:r>
      <w:r w:rsidR="00237F8C" w:rsidRPr="00237F8C">
        <w:rPr>
          <w:sz w:val="26"/>
          <w:szCs w:val="26"/>
        </w:rPr>
        <w:t>as modified by SB 891</w:t>
      </w:r>
      <w:r w:rsidR="0091127E">
        <w:rPr>
          <w:sz w:val="26"/>
          <w:szCs w:val="26"/>
        </w:rPr>
        <w:t>)</w:t>
      </w:r>
      <w:r w:rsidR="00237F8C" w:rsidRPr="00237F8C">
        <w:rPr>
          <w:sz w:val="26"/>
          <w:szCs w:val="26"/>
        </w:rPr>
        <w:t xml:space="preserve">; and </w:t>
      </w:r>
    </w:p>
    <w:p w14:paraId="76A1E09D" w14:textId="1AFA5ECB" w:rsidR="00237F8C" w:rsidRDefault="00DB520A" w:rsidP="00237F8C">
      <w:pPr>
        <w:pStyle w:val="ListParagraph"/>
        <w:numPr>
          <w:ilvl w:val="0"/>
          <w:numId w:val="10"/>
        </w:numPr>
        <w:spacing w:line="360" w:lineRule="exact"/>
        <w:contextualSpacing/>
        <w:jc w:val="both"/>
        <w:rPr>
          <w:sz w:val="26"/>
          <w:szCs w:val="26"/>
        </w:rPr>
      </w:pPr>
      <w:r>
        <w:rPr>
          <w:sz w:val="26"/>
          <w:szCs w:val="26"/>
        </w:rPr>
        <w:t>C</w:t>
      </w:r>
      <w:r w:rsidR="00237F8C" w:rsidRPr="00237F8C">
        <w:rPr>
          <w:sz w:val="26"/>
          <w:szCs w:val="26"/>
        </w:rPr>
        <w:t xml:space="preserve">larifies the circumstances under which </w:t>
      </w:r>
      <w:r w:rsidR="0091127E">
        <w:rPr>
          <w:sz w:val="26"/>
          <w:szCs w:val="26"/>
        </w:rPr>
        <w:t xml:space="preserve">a </w:t>
      </w:r>
      <w:r w:rsidR="00237F8C" w:rsidRPr="00237F8C">
        <w:rPr>
          <w:sz w:val="26"/>
          <w:szCs w:val="26"/>
        </w:rPr>
        <w:t xml:space="preserve">landlord may seek funding </w:t>
      </w:r>
      <w:r w:rsidR="0043551D">
        <w:rPr>
          <w:sz w:val="26"/>
          <w:szCs w:val="26"/>
        </w:rPr>
        <w:t xml:space="preserve">upon the </w:t>
      </w:r>
      <w:r w:rsidR="00237F8C" w:rsidRPr="00237F8C">
        <w:rPr>
          <w:sz w:val="26"/>
          <w:szCs w:val="26"/>
        </w:rPr>
        <w:t>deni</w:t>
      </w:r>
      <w:r w:rsidR="0043551D">
        <w:rPr>
          <w:sz w:val="26"/>
          <w:szCs w:val="26"/>
        </w:rPr>
        <w:t xml:space="preserve">al of a tenant’s </w:t>
      </w:r>
      <w:r w:rsidR="00237F8C" w:rsidRPr="00237F8C">
        <w:rPr>
          <w:sz w:val="26"/>
          <w:szCs w:val="26"/>
        </w:rPr>
        <w:t>rental assistance application.</w:t>
      </w:r>
    </w:p>
    <w:p w14:paraId="411766AE" w14:textId="77777777" w:rsidR="0068673F" w:rsidRPr="00237F8C" w:rsidRDefault="0068673F" w:rsidP="0068673F">
      <w:pPr>
        <w:pStyle w:val="ListParagraph"/>
        <w:spacing w:line="360" w:lineRule="exact"/>
        <w:contextualSpacing/>
        <w:jc w:val="both"/>
        <w:rPr>
          <w:sz w:val="26"/>
          <w:szCs w:val="26"/>
        </w:rPr>
      </w:pPr>
    </w:p>
    <w:p w14:paraId="2876BC96" w14:textId="51569A23" w:rsidR="00237F8C" w:rsidRPr="00237F8C" w:rsidRDefault="0068673F" w:rsidP="00237F8C">
      <w:pPr>
        <w:spacing w:line="360" w:lineRule="exact"/>
        <w:jc w:val="both"/>
        <w:rPr>
          <w:rFonts w:ascii="Book Antiqua" w:hAnsi="Book Antiqua"/>
          <w:sz w:val="26"/>
          <w:szCs w:val="26"/>
        </w:rPr>
      </w:pPr>
      <w:r w:rsidRPr="0068673F">
        <w:rPr>
          <w:rFonts w:ascii="Book Antiqua" w:hAnsi="Book Antiqua"/>
          <w:b/>
          <w:bCs/>
          <w:i/>
          <w:iCs/>
          <w:sz w:val="26"/>
          <w:szCs w:val="26"/>
        </w:rPr>
        <w:t>Effective Date</w:t>
      </w:r>
      <w:r w:rsidR="00A057F5" w:rsidRPr="0068673F">
        <w:rPr>
          <w:rFonts w:ascii="Book Antiqua" w:hAnsi="Book Antiqua"/>
          <w:b/>
          <w:bCs/>
          <w:i/>
          <w:iCs/>
          <w:sz w:val="26"/>
          <w:szCs w:val="26"/>
        </w:rPr>
        <w:t xml:space="preserve">. </w:t>
      </w:r>
      <w:r w:rsidR="00237F8C" w:rsidRPr="00237F8C">
        <w:rPr>
          <w:rFonts w:ascii="Book Antiqua" w:hAnsi="Book Antiqua"/>
          <w:sz w:val="26"/>
          <w:szCs w:val="26"/>
        </w:rPr>
        <w:t>SB 891</w:t>
      </w:r>
      <w:r w:rsidR="00D34362">
        <w:rPr>
          <w:rFonts w:ascii="Book Antiqua" w:hAnsi="Book Antiqua"/>
          <w:sz w:val="26"/>
          <w:szCs w:val="26"/>
        </w:rPr>
        <w:t xml:space="preserve"> </w:t>
      </w:r>
      <w:r w:rsidR="003F245C">
        <w:rPr>
          <w:rFonts w:ascii="Book Antiqua" w:hAnsi="Book Antiqua"/>
          <w:sz w:val="26"/>
          <w:szCs w:val="26"/>
        </w:rPr>
        <w:t>went in</w:t>
      </w:r>
      <w:r w:rsidR="00D34362">
        <w:rPr>
          <w:rFonts w:ascii="Book Antiqua" w:hAnsi="Book Antiqua"/>
          <w:sz w:val="26"/>
          <w:szCs w:val="26"/>
        </w:rPr>
        <w:t>to</w:t>
      </w:r>
      <w:r w:rsidR="003F245C">
        <w:rPr>
          <w:rFonts w:ascii="Book Antiqua" w:hAnsi="Book Antiqua"/>
          <w:sz w:val="26"/>
          <w:szCs w:val="26"/>
        </w:rPr>
        <w:t xml:space="preserve"> </w:t>
      </w:r>
      <w:r w:rsidR="00237F8C" w:rsidRPr="00237F8C">
        <w:rPr>
          <w:rFonts w:ascii="Book Antiqua" w:hAnsi="Book Antiqua"/>
          <w:sz w:val="26"/>
          <w:szCs w:val="26"/>
        </w:rPr>
        <w:t xml:space="preserve">effect upon </w:t>
      </w:r>
      <w:r w:rsidR="003F245C">
        <w:rPr>
          <w:rFonts w:ascii="Book Antiqua" w:hAnsi="Book Antiqua"/>
          <w:sz w:val="26"/>
          <w:szCs w:val="26"/>
        </w:rPr>
        <w:t xml:space="preserve">its </w:t>
      </w:r>
      <w:r w:rsidR="00237F8C" w:rsidRPr="00237F8C">
        <w:rPr>
          <w:rFonts w:ascii="Book Antiqua" w:hAnsi="Book Antiqua"/>
          <w:sz w:val="26"/>
          <w:szCs w:val="26"/>
        </w:rPr>
        <w:t>passage</w:t>
      </w:r>
      <w:r w:rsidR="003F245C">
        <w:rPr>
          <w:rFonts w:ascii="Book Antiqua" w:hAnsi="Book Antiqua"/>
          <w:sz w:val="26"/>
          <w:szCs w:val="26"/>
        </w:rPr>
        <w:t>, December 14, 2021</w:t>
      </w:r>
      <w:r w:rsidR="00237F8C" w:rsidRPr="00237F8C">
        <w:rPr>
          <w:rFonts w:ascii="Book Antiqua" w:hAnsi="Book Antiqua"/>
          <w:sz w:val="26"/>
          <w:szCs w:val="26"/>
        </w:rPr>
        <w:t xml:space="preserve">. </w:t>
      </w:r>
    </w:p>
    <w:p w14:paraId="6E2D8009" w14:textId="77777777" w:rsidR="00237F8C" w:rsidRPr="00237F8C" w:rsidRDefault="00237F8C" w:rsidP="00237F8C">
      <w:pPr>
        <w:spacing w:line="360" w:lineRule="exact"/>
        <w:jc w:val="both"/>
        <w:rPr>
          <w:rFonts w:ascii="Book Antiqua" w:hAnsi="Book Antiqua"/>
          <w:sz w:val="26"/>
          <w:szCs w:val="26"/>
        </w:rPr>
      </w:pPr>
    </w:p>
    <w:p w14:paraId="26E4E9D0" w14:textId="5E6BE107" w:rsidR="00237F8C" w:rsidRDefault="00237F8C" w:rsidP="00237F8C">
      <w:pPr>
        <w:spacing w:line="360" w:lineRule="exact"/>
        <w:jc w:val="both"/>
        <w:rPr>
          <w:rFonts w:ascii="Book Antiqua" w:hAnsi="Book Antiqua"/>
          <w:sz w:val="26"/>
          <w:szCs w:val="26"/>
        </w:rPr>
      </w:pPr>
      <w:r w:rsidRPr="00382811">
        <w:rPr>
          <w:rFonts w:ascii="Book Antiqua" w:hAnsi="Book Antiqua"/>
          <w:b/>
          <w:bCs/>
          <w:i/>
          <w:iCs/>
          <w:sz w:val="26"/>
          <w:szCs w:val="26"/>
        </w:rPr>
        <w:t>Definition of Nonpayment.</w:t>
      </w:r>
      <w:r w:rsidR="004745B9">
        <w:rPr>
          <w:rFonts w:ascii="Book Antiqua" w:hAnsi="Book Antiqua"/>
          <w:b/>
          <w:bCs/>
          <w:i/>
          <w:iCs/>
          <w:sz w:val="26"/>
          <w:szCs w:val="26"/>
        </w:rPr>
        <w:t xml:space="preserve"> </w:t>
      </w:r>
      <w:r w:rsidRPr="00237F8C">
        <w:rPr>
          <w:rFonts w:ascii="Book Antiqua" w:hAnsi="Book Antiqua"/>
          <w:sz w:val="26"/>
          <w:szCs w:val="26"/>
        </w:rPr>
        <w:t>Under SB 891 “Nonpayment” retains its standard definition from SB 278 as</w:t>
      </w:r>
      <w:r w:rsidR="004745B9">
        <w:rPr>
          <w:rFonts w:ascii="Book Antiqua" w:hAnsi="Book Antiqua"/>
          <w:sz w:val="26"/>
          <w:szCs w:val="26"/>
        </w:rPr>
        <w:t xml:space="preserve">: </w:t>
      </w:r>
      <w:r w:rsidRPr="00237F8C">
        <w:rPr>
          <w:rFonts w:ascii="Book Antiqua" w:hAnsi="Book Antiqua"/>
          <w:sz w:val="26"/>
          <w:szCs w:val="26"/>
        </w:rPr>
        <w:t>“</w:t>
      </w:r>
      <w:r w:rsidR="004745B9">
        <w:rPr>
          <w:rFonts w:ascii="Book Antiqua" w:hAnsi="Book Antiqua"/>
          <w:sz w:val="26"/>
          <w:szCs w:val="26"/>
        </w:rPr>
        <w:t>(</w:t>
      </w:r>
      <w:r w:rsidRPr="00237F8C">
        <w:rPr>
          <w:rFonts w:ascii="Book Antiqua" w:hAnsi="Book Antiqua"/>
          <w:sz w:val="26"/>
          <w:szCs w:val="26"/>
        </w:rPr>
        <w:t>t</w:t>
      </w:r>
      <w:r w:rsidR="004745B9">
        <w:rPr>
          <w:rFonts w:ascii="Book Antiqua" w:hAnsi="Book Antiqua"/>
          <w:sz w:val="26"/>
          <w:szCs w:val="26"/>
        </w:rPr>
        <w:t>)</w:t>
      </w:r>
      <w:r w:rsidRPr="00237F8C">
        <w:rPr>
          <w:rFonts w:ascii="Book Antiqua" w:hAnsi="Book Antiqua"/>
          <w:sz w:val="26"/>
          <w:szCs w:val="26"/>
        </w:rPr>
        <w:t xml:space="preserve">he nonpayment of sums due to the landlord, including payment of rent, late charges, utility or service charges or any other charge or fee described in the rental agreement, </w:t>
      </w:r>
      <w:r w:rsidRPr="006131D9">
        <w:rPr>
          <w:rFonts w:ascii="Book Antiqua" w:hAnsi="Book Antiqua"/>
          <w:i/>
          <w:iCs/>
          <w:sz w:val="26"/>
          <w:szCs w:val="26"/>
          <w:u w:val="single"/>
        </w:rPr>
        <w:t>including</w:t>
      </w:r>
      <w:r w:rsidRPr="00237F8C">
        <w:rPr>
          <w:rFonts w:ascii="Book Antiqua" w:hAnsi="Book Antiqua"/>
          <w:sz w:val="26"/>
          <w:szCs w:val="26"/>
        </w:rPr>
        <w:t xml:space="preserve"> the following statutory sums: </w:t>
      </w:r>
    </w:p>
    <w:p w14:paraId="6BA49FEF" w14:textId="17E35863" w:rsidR="005A5ED7" w:rsidRDefault="00A057F5" w:rsidP="00237F8C">
      <w:pPr>
        <w:spacing w:line="360" w:lineRule="exact"/>
        <w:jc w:val="both"/>
        <w:rPr>
          <w:rFonts w:ascii="Book Antiqua" w:hAnsi="Book Antiqua"/>
          <w:sz w:val="26"/>
          <w:szCs w:val="26"/>
        </w:rPr>
      </w:pPr>
      <w:r>
        <w:rPr>
          <w:rFonts w:ascii="Book Antiqua" w:hAnsi="Book Antiqua"/>
          <w:sz w:val="26"/>
          <w:szCs w:val="26"/>
        </w:rPr>
        <w:t>///</w:t>
      </w:r>
    </w:p>
    <w:p w14:paraId="07C27B4D" w14:textId="4B00E854" w:rsidR="00A057F5" w:rsidRDefault="00A057F5" w:rsidP="00237F8C">
      <w:pPr>
        <w:spacing w:line="360" w:lineRule="exact"/>
        <w:jc w:val="both"/>
        <w:rPr>
          <w:rFonts w:ascii="Book Antiqua" w:hAnsi="Book Antiqua"/>
          <w:sz w:val="26"/>
          <w:szCs w:val="26"/>
        </w:rPr>
      </w:pPr>
    </w:p>
    <w:p w14:paraId="7CDDB08F" w14:textId="5E8F1808" w:rsidR="00A057F5" w:rsidRPr="00237F8C" w:rsidRDefault="00A057F5" w:rsidP="00237F8C">
      <w:pPr>
        <w:spacing w:line="360" w:lineRule="exact"/>
        <w:jc w:val="both"/>
        <w:rPr>
          <w:rFonts w:ascii="Book Antiqua" w:hAnsi="Book Antiqua"/>
          <w:sz w:val="26"/>
          <w:szCs w:val="26"/>
        </w:rPr>
      </w:pPr>
      <w:r>
        <w:rPr>
          <w:rFonts w:ascii="Book Antiqua" w:hAnsi="Book Antiqua"/>
          <w:sz w:val="26"/>
          <w:szCs w:val="26"/>
        </w:rPr>
        <w:t>///</w:t>
      </w:r>
    </w:p>
    <w:p w14:paraId="631EC1CE" w14:textId="28A851A5" w:rsidR="004745B9" w:rsidRDefault="00237F8C" w:rsidP="006114EF">
      <w:pPr>
        <w:pStyle w:val="ListParagraph"/>
        <w:numPr>
          <w:ilvl w:val="0"/>
          <w:numId w:val="13"/>
        </w:numPr>
        <w:spacing w:line="360" w:lineRule="exact"/>
        <w:jc w:val="both"/>
        <w:rPr>
          <w:sz w:val="26"/>
          <w:szCs w:val="26"/>
        </w:rPr>
      </w:pPr>
      <w:r w:rsidRPr="004745B9">
        <w:rPr>
          <w:sz w:val="26"/>
          <w:szCs w:val="26"/>
        </w:rPr>
        <w:lastRenderedPageBreak/>
        <w:t>ORS 90.140 (Types of payments landlord may require or accept)</w:t>
      </w:r>
      <w:r w:rsidR="004745B9">
        <w:rPr>
          <w:sz w:val="26"/>
          <w:szCs w:val="26"/>
        </w:rPr>
        <w:t>;</w:t>
      </w:r>
    </w:p>
    <w:p w14:paraId="4A31836F" w14:textId="512F8FB1" w:rsidR="004745B9" w:rsidRDefault="00237F8C" w:rsidP="00F47CE8">
      <w:pPr>
        <w:pStyle w:val="ListParagraph"/>
        <w:numPr>
          <w:ilvl w:val="0"/>
          <w:numId w:val="13"/>
        </w:numPr>
        <w:spacing w:line="360" w:lineRule="exact"/>
        <w:jc w:val="both"/>
        <w:rPr>
          <w:sz w:val="26"/>
          <w:szCs w:val="26"/>
        </w:rPr>
      </w:pPr>
      <w:r w:rsidRPr="004745B9">
        <w:rPr>
          <w:sz w:val="26"/>
          <w:szCs w:val="26"/>
        </w:rPr>
        <w:t>ORS 90.302 (Fees allowed for certain landlord expenses or tenant non-compliance)</w:t>
      </w:r>
      <w:r w:rsidR="004745B9">
        <w:rPr>
          <w:sz w:val="26"/>
          <w:szCs w:val="26"/>
        </w:rPr>
        <w:t>;</w:t>
      </w:r>
    </w:p>
    <w:p w14:paraId="51D709BB" w14:textId="0263FEB8" w:rsidR="004745B9" w:rsidRDefault="00237F8C" w:rsidP="00193B18">
      <w:pPr>
        <w:pStyle w:val="ListParagraph"/>
        <w:numPr>
          <w:ilvl w:val="0"/>
          <w:numId w:val="13"/>
        </w:numPr>
        <w:spacing w:line="360" w:lineRule="exact"/>
        <w:jc w:val="both"/>
        <w:rPr>
          <w:sz w:val="26"/>
          <w:szCs w:val="26"/>
        </w:rPr>
      </w:pPr>
      <w:r w:rsidRPr="004745B9">
        <w:rPr>
          <w:sz w:val="26"/>
          <w:szCs w:val="26"/>
        </w:rPr>
        <w:t>ORS 90.315 (utility or service payments)</w:t>
      </w:r>
      <w:r w:rsidR="004745B9">
        <w:rPr>
          <w:sz w:val="26"/>
          <w:szCs w:val="26"/>
        </w:rPr>
        <w:t>;</w:t>
      </w:r>
    </w:p>
    <w:p w14:paraId="28AAB06E" w14:textId="5706FBC1" w:rsidR="00237F8C" w:rsidRPr="004745B9" w:rsidRDefault="00237F8C" w:rsidP="004745B9">
      <w:pPr>
        <w:pStyle w:val="ListParagraph"/>
        <w:numPr>
          <w:ilvl w:val="0"/>
          <w:numId w:val="13"/>
        </w:numPr>
        <w:spacing w:line="360" w:lineRule="exact"/>
        <w:jc w:val="both"/>
        <w:rPr>
          <w:sz w:val="26"/>
          <w:szCs w:val="26"/>
        </w:rPr>
      </w:pPr>
      <w:r w:rsidRPr="004745B9">
        <w:rPr>
          <w:sz w:val="26"/>
          <w:szCs w:val="26"/>
        </w:rPr>
        <w:t>ORS 90.392 (termination of tenancy for cause)</w:t>
      </w:r>
      <w:r w:rsidR="004745B9">
        <w:rPr>
          <w:sz w:val="26"/>
          <w:szCs w:val="26"/>
        </w:rPr>
        <w:t>;</w:t>
      </w:r>
    </w:p>
    <w:p w14:paraId="373F2F2C" w14:textId="77777777" w:rsidR="00237F8C" w:rsidRPr="004745B9" w:rsidRDefault="00237F8C" w:rsidP="004745B9">
      <w:pPr>
        <w:pStyle w:val="ListParagraph"/>
        <w:numPr>
          <w:ilvl w:val="0"/>
          <w:numId w:val="13"/>
        </w:numPr>
        <w:spacing w:line="360" w:lineRule="exact"/>
        <w:jc w:val="both"/>
        <w:rPr>
          <w:sz w:val="26"/>
          <w:szCs w:val="26"/>
        </w:rPr>
      </w:pPr>
      <w:r w:rsidRPr="004745B9">
        <w:rPr>
          <w:sz w:val="26"/>
          <w:szCs w:val="26"/>
        </w:rPr>
        <w:t xml:space="preserve">ORS 90.394 (termination of tenancy for failure to pay rent), </w:t>
      </w:r>
    </w:p>
    <w:p w14:paraId="0E018234" w14:textId="77777777" w:rsidR="00237F8C" w:rsidRPr="004745B9" w:rsidRDefault="00237F8C" w:rsidP="004745B9">
      <w:pPr>
        <w:pStyle w:val="ListParagraph"/>
        <w:numPr>
          <w:ilvl w:val="0"/>
          <w:numId w:val="13"/>
        </w:numPr>
        <w:spacing w:line="360" w:lineRule="exact"/>
        <w:jc w:val="both"/>
        <w:rPr>
          <w:sz w:val="26"/>
          <w:szCs w:val="26"/>
        </w:rPr>
      </w:pPr>
      <w:r w:rsidRPr="004745B9">
        <w:rPr>
          <w:sz w:val="26"/>
          <w:szCs w:val="26"/>
        </w:rPr>
        <w:t xml:space="preserve">ORS 90.560 to 90.584 (provisions for various utilities and service charges);  or </w:t>
      </w:r>
    </w:p>
    <w:p w14:paraId="6AECC8D9" w14:textId="4F7BC7E9" w:rsidR="00237F8C" w:rsidRPr="006131D9" w:rsidRDefault="00237F8C" w:rsidP="006131D9">
      <w:pPr>
        <w:pStyle w:val="ListParagraph"/>
        <w:numPr>
          <w:ilvl w:val="0"/>
          <w:numId w:val="13"/>
        </w:numPr>
        <w:spacing w:line="360" w:lineRule="exact"/>
        <w:rPr>
          <w:sz w:val="26"/>
          <w:szCs w:val="26"/>
        </w:rPr>
      </w:pPr>
      <w:r w:rsidRPr="006131D9">
        <w:rPr>
          <w:sz w:val="26"/>
          <w:szCs w:val="26"/>
        </w:rPr>
        <w:t>ORS 90.630 (termination by landlord: manufactured dwelling or floating home).</w:t>
      </w:r>
      <w:r w:rsidR="006131D9">
        <w:rPr>
          <w:rStyle w:val="FootnoteReference"/>
          <w:sz w:val="26"/>
          <w:szCs w:val="26"/>
        </w:rPr>
        <w:footnoteReference w:id="3"/>
      </w:r>
    </w:p>
    <w:p w14:paraId="7462A228" w14:textId="77777777" w:rsidR="006131D9" w:rsidRDefault="006131D9" w:rsidP="00237F8C">
      <w:pPr>
        <w:spacing w:line="360" w:lineRule="exact"/>
        <w:jc w:val="both"/>
        <w:rPr>
          <w:rFonts w:ascii="Book Antiqua" w:hAnsi="Book Antiqua"/>
          <w:sz w:val="26"/>
          <w:szCs w:val="26"/>
        </w:rPr>
      </w:pPr>
    </w:p>
    <w:p w14:paraId="76AA3A24" w14:textId="25987E39" w:rsidR="00237F8C" w:rsidRPr="00A057F5" w:rsidRDefault="00237F8C" w:rsidP="00237F8C">
      <w:pPr>
        <w:spacing w:line="360" w:lineRule="exact"/>
        <w:jc w:val="both"/>
        <w:rPr>
          <w:rFonts w:ascii="Book Antiqua" w:hAnsi="Book Antiqua"/>
          <w:i/>
          <w:iCs/>
          <w:sz w:val="26"/>
          <w:szCs w:val="26"/>
        </w:rPr>
      </w:pPr>
      <w:r w:rsidRPr="00357E4A">
        <w:rPr>
          <w:rFonts w:ascii="Book Antiqua" w:hAnsi="Book Antiqua"/>
          <w:b/>
          <w:bCs/>
          <w:i/>
          <w:iCs/>
          <w:sz w:val="26"/>
          <w:szCs w:val="26"/>
        </w:rPr>
        <w:t>Mechanism for Protecting Tenants</w:t>
      </w:r>
      <w:r w:rsidR="00357E4A">
        <w:rPr>
          <w:rFonts w:ascii="Book Antiqua" w:hAnsi="Book Antiqua"/>
          <w:b/>
          <w:bCs/>
          <w:i/>
          <w:iCs/>
          <w:sz w:val="26"/>
          <w:szCs w:val="26"/>
        </w:rPr>
        <w:t xml:space="preserve">. </w:t>
      </w:r>
      <w:r w:rsidRPr="00237F8C">
        <w:rPr>
          <w:rFonts w:ascii="Book Antiqua" w:hAnsi="Book Antiqua"/>
          <w:sz w:val="26"/>
          <w:szCs w:val="26"/>
        </w:rPr>
        <w:t xml:space="preserve">If a tenant provides their landlord with documentation that they have applied for Emergency Rental Assistance, on or before June 22, 2022, the landlord may not do the following </w:t>
      </w:r>
      <w:r w:rsidRPr="00A057F5">
        <w:rPr>
          <w:rFonts w:ascii="Book Antiqua" w:hAnsi="Book Antiqua"/>
          <w:i/>
          <w:iCs/>
          <w:sz w:val="26"/>
          <w:szCs w:val="26"/>
          <w:u w:val="single"/>
        </w:rPr>
        <w:t>while the application is pending</w:t>
      </w:r>
      <w:r w:rsidR="00207349" w:rsidRPr="00A057F5">
        <w:rPr>
          <w:rFonts w:ascii="Book Antiqua" w:hAnsi="Book Antiqua"/>
          <w:i/>
          <w:iCs/>
          <w:sz w:val="26"/>
          <w:szCs w:val="26"/>
        </w:rPr>
        <w:t>:</w:t>
      </w:r>
    </w:p>
    <w:p w14:paraId="662F27D9" w14:textId="77777777" w:rsidR="005A5ED7" w:rsidRPr="00237F8C" w:rsidRDefault="005A5ED7" w:rsidP="00237F8C">
      <w:pPr>
        <w:spacing w:line="360" w:lineRule="exact"/>
        <w:jc w:val="both"/>
        <w:rPr>
          <w:rFonts w:ascii="Book Antiqua" w:hAnsi="Book Antiqua"/>
          <w:sz w:val="26"/>
          <w:szCs w:val="26"/>
        </w:rPr>
      </w:pPr>
    </w:p>
    <w:p w14:paraId="7B857002" w14:textId="57444528" w:rsidR="00237F8C" w:rsidRPr="00AD0F1C" w:rsidRDefault="00237F8C" w:rsidP="00AD0F1C">
      <w:pPr>
        <w:pStyle w:val="ListParagraph"/>
        <w:numPr>
          <w:ilvl w:val="0"/>
          <w:numId w:val="14"/>
        </w:numPr>
        <w:spacing w:line="360" w:lineRule="exact"/>
        <w:ind w:left="720"/>
        <w:jc w:val="both"/>
        <w:rPr>
          <w:sz w:val="26"/>
          <w:szCs w:val="26"/>
        </w:rPr>
      </w:pPr>
      <w:r w:rsidRPr="00AD0F1C">
        <w:rPr>
          <w:sz w:val="26"/>
          <w:szCs w:val="26"/>
        </w:rPr>
        <w:t>Deliver a termination notice for nonpayment</w:t>
      </w:r>
      <w:r w:rsidR="00207349" w:rsidRPr="00AD0F1C">
        <w:rPr>
          <w:sz w:val="26"/>
          <w:szCs w:val="26"/>
        </w:rPr>
        <w:t>;</w:t>
      </w:r>
      <w:r w:rsidRPr="00AD0F1C">
        <w:rPr>
          <w:sz w:val="26"/>
          <w:szCs w:val="26"/>
        </w:rPr>
        <w:t xml:space="preserve"> or</w:t>
      </w:r>
    </w:p>
    <w:p w14:paraId="49270386" w14:textId="5306EAC6" w:rsidR="00237F8C" w:rsidRPr="00AD0F1C" w:rsidRDefault="00237F8C" w:rsidP="00AD0F1C">
      <w:pPr>
        <w:pStyle w:val="ListParagraph"/>
        <w:numPr>
          <w:ilvl w:val="0"/>
          <w:numId w:val="14"/>
        </w:numPr>
        <w:spacing w:line="360" w:lineRule="exact"/>
        <w:ind w:left="720"/>
        <w:jc w:val="both"/>
        <w:rPr>
          <w:sz w:val="26"/>
          <w:szCs w:val="26"/>
        </w:rPr>
      </w:pPr>
      <w:r w:rsidRPr="00AD0F1C">
        <w:rPr>
          <w:sz w:val="26"/>
          <w:szCs w:val="26"/>
        </w:rPr>
        <w:t>Initiate or continue an action for possession (i.e., an FED) based upon a termination notice for nonpayment.</w:t>
      </w:r>
    </w:p>
    <w:p w14:paraId="5BD36CBB" w14:textId="77777777" w:rsidR="005A5ED7" w:rsidRDefault="005A5ED7" w:rsidP="00237F8C">
      <w:pPr>
        <w:spacing w:line="360" w:lineRule="exact"/>
        <w:jc w:val="both"/>
        <w:rPr>
          <w:rFonts w:ascii="Book Antiqua" w:hAnsi="Book Antiqua"/>
          <w:i/>
          <w:iCs/>
          <w:sz w:val="26"/>
          <w:szCs w:val="26"/>
        </w:rPr>
      </w:pPr>
    </w:p>
    <w:p w14:paraId="51F61FFD" w14:textId="3A189330" w:rsidR="00237F8C" w:rsidRPr="00237F8C" w:rsidRDefault="00CF3315" w:rsidP="00237F8C">
      <w:pPr>
        <w:spacing w:line="360" w:lineRule="exact"/>
        <w:jc w:val="both"/>
        <w:rPr>
          <w:rFonts w:ascii="Book Antiqua" w:hAnsi="Book Antiqua"/>
          <w:sz w:val="26"/>
          <w:szCs w:val="26"/>
        </w:rPr>
      </w:pPr>
      <w:r w:rsidRPr="00CF3315">
        <w:rPr>
          <w:rFonts w:ascii="Book Antiqua" w:hAnsi="Book Antiqua"/>
          <w:i/>
          <w:iCs/>
          <w:sz w:val="26"/>
          <w:szCs w:val="26"/>
        </w:rPr>
        <w:t xml:space="preserve">Comment: </w:t>
      </w:r>
      <w:r w:rsidR="00237F8C" w:rsidRPr="00237F8C">
        <w:rPr>
          <w:rFonts w:ascii="Book Antiqua" w:hAnsi="Book Antiqua"/>
          <w:sz w:val="26"/>
          <w:szCs w:val="26"/>
        </w:rPr>
        <w:t xml:space="preserve">This is a significant change from the prior law, which operated under a 60-day (or 90-day in Multnomah county) delay. </w:t>
      </w:r>
      <w:r w:rsidRPr="00CF3315">
        <w:rPr>
          <w:rFonts w:ascii="Book Antiqua" w:hAnsi="Book Antiqua"/>
          <w:sz w:val="26"/>
          <w:szCs w:val="26"/>
          <w:u w:val="single"/>
        </w:rPr>
        <w:t>Now, a</w:t>
      </w:r>
      <w:r w:rsidR="00237F8C" w:rsidRPr="00CF3315">
        <w:rPr>
          <w:rFonts w:ascii="Book Antiqua" w:hAnsi="Book Antiqua"/>
          <w:sz w:val="26"/>
          <w:szCs w:val="26"/>
          <w:u w:val="single"/>
        </w:rPr>
        <w:t xml:space="preserve"> notice of termination may not be issued until the landlord receives notice, either from the tenant or from the rental assistance provider, that the application is no longer pending</w:t>
      </w:r>
      <w:r w:rsidR="00237F8C" w:rsidRPr="00237F8C">
        <w:rPr>
          <w:rFonts w:ascii="Book Antiqua" w:hAnsi="Book Antiqua"/>
          <w:sz w:val="26"/>
          <w:szCs w:val="26"/>
        </w:rPr>
        <w:t>.</w:t>
      </w:r>
    </w:p>
    <w:p w14:paraId="6A361821" w14:textId="77777777" w:rsidR="00237F8C" w:rsidRPr="00237F8C" w:rsidRDefault="00237F8C" w:rsidP="00237F8C">
      <w:pPr>
        <w:spacing w:line="360" w:lineRule="exact"/>
        <w:jc w:val="both"/>
        <w:rPr>
          <w:rFonts w:ascii="Book Antiqua" w:hAnsi="Book Antiqua"/>
          <w:sz w:val="26"/>
          <w:szCs w:val="26"/>
        </w:rPr>
      </w:pPr>
    </w:p>
    <w:p w14:paraId="3848A76B" w14:textId="58FF2909" w:rsidR="00237F8C" w:rsidRDefault="00237F8C" w:rsidP="00237F8C">
      <w:pPr>
        <w:spacing w:line="360" w:lineRule="exact"/>
        <w:jc w:val="both"/>
        <w:rPr>
          <w:rFonts w:ascii="Book Antiqua" w:hAnsi="Book Antiqua"/>
          <w:sz w:val="26"/>
          <w:szCs w:val="26"/>
        </w:rPr>
      </w:pPr>
      <w:r w:rsidRPr="00237F8C">
        <w:rPr>
          <w:rFonts w:ascii="Book Antiqua" w:hAnsi="Book Antiqua"/>
          <w:b/>
          <w:bCs/>
          <w:i/>
          <w:iCs/>
          <w:sz w:val="26"/>
          <w:szCs w:val="26"/>
        </w:rPr>
        <w:t>Updated Eviction Protection Notice</w:t>
      </w:r>
      <w:r w:rsidRPr="00237F8C">
        <w:rPr>
          <w:rFonts w:ascii="Book Antiqua" w:hAnsi="Book Antiqua"/>
          <w:sz w:val="26"/>
          <w:szCs w:val="26"/>
        </w:rPr>
        <w:t xml:space="preserve">. SB 891 still requires that the </w:t>
      </w:r>
      <w:r w:rsidR="00AD0F1C">
        <w:rPr>
          <w:rFonts w:ascii="Book Antiqua" w:hAnsi="Book Antiqua"/>
          <w:sz w:val="26"/>
          <w:szCs w:val="26"/>
        </w:rPr>
        <w:t>(</w:t>
      </w:r>
      <w:r w:rsidRPr="00237F8C">
        <w:rPr>
          <w:rFonts w:ascii="Book Antiqua" w:hAnsi="Book Antiqua"/>
          <w:sz w:val="26"/>
          <w:szCs w:val="26"/>
        </w:rPr>
        <w:t>new</w:t>
      </w:r>
      <w:r w:rsidR="00AD0F1C">
        <w:rPr>
          <w:rFonts w:ascii="Book Antiqua" w:hAnsi="Book Antiqua"/>
          <w:sz w:val="26"/>
          <w:szCs w:val="26"/>
        </w:rPr>
        <w:t>)</w:t>
      </w:r>
      <w:r w:rsidRPr="00237F8C">
        <w:rPr>
          <w:rFonts w:ascii="Book Antiqua" w:hAnsi="Book Antiqua"/>
          <w:sz w:val="26"/>
          <w:szCs w:val="26"/>
        </w:rPr>
        <w:t xml:space="preserve"> statutory notice regarding eviction protection is required to be delivered. The language of the </w:t>
      </w:r>
      <w:r w:rsidR="00F54E44">
        <w:rPr>
          <w:rFonts w:ascii="Book Antiqua" w:hAnsi="Book Antiqua"/>
          <w:sz w:val="26"/>
          <w:szCs w:val="26"/>
        </w:rPr>
        <w:t>u</w:t>
      </w:r>
      <w:r w:rsidRPr="00237F8C">
        <w:rPr>
          <w:rFonts w:ascii="Book Antiqua" w:hAnsi="Book Antiqua"/>
          <w:sz w:val="26"/>
          <w:szCs w:val="26"/>
        </w:rPr>
        <w:t>pdated Eviction Protection Notice has been a</w:t>
      </w:r>
      <w:r w:rsidR="00F54E44">
        <w:rPr>
          <w:rFonts w:ascii="Book Antiqua" w:hAnsi="Book Antiqua"/>
          <w:sz w:val="26"/>
          <w:szCs w:val="26"/>
        </w:rPr>
        <w:t>mended</w:t>
      </w:r>
      <w:r w:rsidRPr="00237F8C">
        <w:rPr>
          <w:rFonts w:ascii="Book Antiqua" w:hAnsi="Book Antiqua"/>
          <w:sz w:val="26"/>
          <w:szCs w:val="26"/>
        </w:rPr>
        <w:t xml:space="preserve"> and </w:t>
      </w:r>
      <w:r w:rsidR="00AD0F1C">
        <w:rPr>
          <w:rFonts w:ascii="Book Antiqua" w:hAnsi="Book Antiqua"/>
          <w:sz w:val="26"/>
          <w:szCs w:val="26"/>
        </w:rPr>
        <w:t xml:space="preserve">it </w:t>
      </w:r>
      <w:r w:rsidRPr="00237F8C">
        <w:rPr>
          <w:rFonts w:ascii="Book Antiqua" w:hAnsi="Book Antiqua"/>
          <w:sz w:val="26"/>
          <w:szCs w:val="26"/>
        </w:rPr>
        <w:t>must be provided with either of the following documents on or after the effective date of this Act</w:t>
      </w:r>
      <w:r w:rsidR="00AD0F1C">
        <w:rPr>
          <w:rFonts w:ascii="Book Antiqua" w:hAnsi="Book Antiqua"/>
          <w:sz w:val="26"/>
          <w:szCs w:val="26"/>
        </w:rPr>
        <w:t xml:space="preserve"> (December 14, 2021)</w:t>
      </w:r>
      <w:r w:rsidRPr="00237F8C">
        <w:rPr>
          <w:rFonts w:ascii="Book Antiqua" w:hAnsi="Book Antiqua"/>
          <w:sz w:val="26"/>
          <w:szCs w:val="26"/>
        </w:rPr>
        <w:t>:</w:t>
      </w:r>
    </w:p>
    <w:p w14:paraId="3617A2FE" w14:textId="77777777" w:rsidR="00A057F5" w:rsidRDefault="00A057F5" w:rsidP="00237F8C">
      <w:pPr>
        <w:spacing w:line="360" w:lineRule="exact"/>
        <w:jc w:val="both"/>
        <w:rPr>
          <w:rFonts w:ascii="Book Antiqua" w:hAnsi="Book Antiqua"/>
          <w:sz w:val="26"/>
          <w:szCs w:val="26"/>
        </w:rPr>
      </w:pPr>
    </w:p>
    <w:p w14:paraId="4FD615B6" w14:textId="56F2A7AE" w:rsidR="005A5ED7" w:rsidRDefault="00E25B33" w:rsidP="00237F8C">
      <w:pPr>
        <w:spacing w:line="360" w:lineRule="exact"/>
        <w:jc w:val="both"/>
        <w:rPr>
          <w:rFonts w:ascii="Book Antiqua" w:hAnsi="Book Antiqua"/>
          <w:sz w:val="26"/>
          <w:szCs w:val="26"/>
        </w:rPr>
      </w:pPr>
      <w:r>
        <w:rPr>
          <w:rFonts w:ascii="Book Antiqua" w:hAnsi="Book Antiqua"/>
          <w:sz w:val="26"/>
          <w:szCs w:val="26"/>
        </w:rPr>
        <w:t>///</w:t>
      </w:r>
    </w:p>
    <w:p w14:paraId="564B9042" w14:textId="21C868D2" w:rsidR="00237F8C" w:rsidRPr="00F54E44" w:rsidRDefault="00237F8C" w:rsidP="00F54E44">
      <w:pPr>
        <w:pStyle w:val="ListParagraph"/>
        <w:numPr>
          <w:ilvl w:val="0"/>
          <w:numId w:val="15"/>
        </w:numPr>
        <w:spacing w:line="360" w:lineRule="exact"/>
        <w:jc w:val="both"/>
        <w:rPr>
          <w:sz w:val="26"/>
          <w:szCs w:val="26"/>
        </w:rPr>
      </w:pPr>
      <w:r w:rsidRPr="00F54E44">
        <w:rPr>
          <w:sz w:val="26"/>
          <w:szCs w:val="26"/>
        </w:rPr>
        <w:lastRenderedPageBreak/>
        <w:t>Any notice of termination for nonpayment of rent; and</w:t>
      </w:r>
    </w:p>
    <w:p w14:paraId="2BEA0C65" w14:textId="76DBEB1C" w:rsidR="00237F8C" w:rsidRPr="00F54E44" w:rsidRDefault="00237F8C" w:rsidP="00F54E44">
      <w:pPr>
        <w:pStyle w:val="ListParagraph"/>
        <w:numPr>
          <w:ilvl w:val="0"/>
          <w:numId w:val="15"/>
        </w:numPr>
        <w:spacing w:line="360" w:lineRule="exact"/>
        <w:jc w:val="both"/>
        <w:rPr>
          <w:sz w:val="26"/>
          <w:szCs w:val="26"/>
        </w:rPr>
      </w:pPr>
      <w:r w:rsidRPr="00F54E44">
        <w:rPr>
          <w:sz w:val="26"/>
          <w:szCs w:val="26"/>
        </w:rPr>
        <w:t>Any summons for a complaint seeking possession based on nonpayment of any sums due to the landlord</w:t>
      </w:r>
      <w:r w:rsidR="00F02CC5">
        <w:rPr>
          <w:sz w:val="26"/>
          <w:szCs w:val="26"/>
        </w:rPr>
        <w:t>.</w:t>
      </w:r>
      <w:r w:rsidRPr="00F54E44">
        <w:rPr>
          <w:sz w:val="26"/>
          <w:szCs w:val="26"/>
        </w:rPr>
        <w:t xml:space="preserve"> </w:t>
      </w:r>
      <w:r w:rsidR="00F02CC5">
        <w:rPr>
          <w:sz w:val="26"/>
          <w:szCs w:val="26"/>
        </w:rPr>
        <w:t xml:space="preserve">(See, discussion of </w:t>
      </w:r>
      <w:r w:rsidRPr="00F54E44">
        <w:rPr>
          <w:sz w:val="26"/>
          <w:szCs w:val="26"/>
        </w:rPr>
        <w:t>“</w:t>
      </w:r>
      <w:r w:rsidR="00F02CC5">
        <w:rPr>
          <w:sz w:val="26"/>
          <w:szCs w:val="26"/>
        </w:rPr>
        <w:t>N</w:t>
      </w:r>
      <w:r w:rsidRPr="00F54E44">
        <w:rPr>
          <w:sz w:val="26"/>
          <w:szCs w:val="26"/>
        </w:rPr>
        <w:t xml:space="preserve">onpayment” </w:t>
      </w:r>
      <w:r w:rsidR="00F02CC5">
        <w:rPr>
          <w:sz w:val="26"/>
          <w:szCs w:val="26"/>
        </w:rPr>
        <w:t>a</w:t>
      </w:r>
      <w:r w:rsidRPr="00F54E44">
        <w:rPr>
          <w:sz w:val="26"/>
          <w:szCs w:val="26"/>
        </w:rPr>
        <w:t>bove.</w:t>
      </w:r>
      <w:r w:rsidR="00F02CC5">
        <w:rPr>
          <w:sz w:val="26"/>
          <w:szCs w:val="26"/>
        </w:rPr>
        <w:t>)</w:t>
      </w:r>
    </w:p>
    <w:p w14:paraId="0DD7B92D" w14:textId="77777777" w:rsidR="00E25B33" w:rsidRDefault="00E25B33" w:rsidP="00237F8C">
      <w:pPr>
        <w:spacing w:line="360" w:lineRule="exact"/>
        <w:jc w:val="both"/>
        <w:rPr>
          <w:rFonts w:ascii="Book Antiqua" w:hAnsi="Book Antiqua"/>
          <w:i/>
          <w:iCs/>
          <w:sz w:val="26"/>
          <w:szCs w:val="26"/>
        </w:rPr>
      </w:pPr>
    </w:p>
    <w:p w14:paraId="7D23D4D4" w14:textId="5BA2C11F" w:rsidR="00237F8C" w:rsidRPr="00237F8C" w:rsidRDefault="00237F8C" w:rsidP="00237F8C">
      <w:pPr>
        <w:spacing w:line="360" w:lineRule="exact"/>
        <w:jc w:val="both"/>
        <w:rPr>
          <w:rFonts w:ascii="Book Antiqua" w:hAnsi="Book Antiqua"/>
          <w:sz w:val="26"/>
          <w:szCs w:val="26"/>
        </w:rPr>
      </w:pPr>
      <w:r w:rsidRPr="00237F8C">
        <w:rPr>
          <w:rFonts w:ascii="Book Antiqua" w:hAnsi="Book Antiqua"/>
          <w:i/>
          <w:iCs/>
          <w:sz w:val="26"/>
          <w:szCs w:val="26"/>
        </w:rPr>
        <w:t>Note:</w:t>
      </w:r>
      <w:r w:rsidRPr="00237F8C">
        <w:rPr>
          <w:rFonts w:ascii="Book Antiqua" w:hAnsi="Book Antiqua"/>
          <w:sz w:val="26"/>
          <w:szCs w:val="26"/>
        </w:rPr>
        <w:t xml:space="preserve"> </w:t>
      </w:r>
      <w:r w:rsidR="00DC001A">
        <w:rPr>
          <w:rFonts w:ascii="Book Antiqua" w:hAnsi="Book Antiqua"/>
          <w:sz w:val="26"/>
          <w:szCs w:val="26"/>
        </w:rPr>
        <w:t>A</w:t>
      </w:r>
      <w:r w:rsidRPr="00237F8C">
        <w:rPr>
          <w:rFonts w:ascii="Book Antiqua" w:hAnsi="Book Antiqua"/>
          <w:sz w:val="26"/>
          <w:szCs w:val="26"/>
        </w:rPr>
        <w:t xml:space="preserve"> landlord will not be penalized for using the </w:t>
      </w:r>
      <w:r w:rsidR="00DC001A">
        <w:rPr>
          <w:rFonts w:ascii="Book Antiqua" w:hAnsi="Book Antiqua"/>
          <w:sz w:val="26"/>
          <w:szCs w:val="26"/>
        </w:rPr>
        <w:t xml:space="preserve">earlier </w:t>
      </w:r>
      <w:r w:rsidR="00DC001A" w:rsidRPr="00237F8C">
        <w:rPr>
          <w:rFonts w:ascii="Book Antiqua" w:hAnsi="Book Antiqua"/>
          <w:sz w:val="26"/>
          <w:szCs w:val="26"/>
        </w:rPr>
        <w:t xml:space="preserve">Eviction Protection Notice </w:t>
      </w:r>
      <w:r w:rsidR="007917ED">
        <w:rPr>
          <w:rFonts w:ascii="Book Antiqua" w:hAnsi="Book Antiqua"/>
          <w:sz w:val="26"/>
          <w:szCs w:val="26"/>
        </w:rPr>
        <w:t xml:space="preserve">(“Notice”) </w:t>
      </w:r>
      <w:r w:rsidRPr="00237F8C">
        <w:rPr>
          <w:rFonts w:ascii="Book Antiqua" w:hAnsi="Book Antiqua"/>
          <w:sz w:val="26"/>
          <w:szCs w:val="26"/>
        </w:rPr>
        <w:t xml:space="preserve">provided the notice of termination and/or summons for </w:t>
      </w:r>
      <w:r w:rsidR="00DC001A">
        <w:rPr>
          <w:rFonts w:ascii="Book Antiqua" w:hAnsi="Book Antiqua"/>
          <w:sz w:val="26"/>
          <w:szCs w:val="26"/>
        </w:rPr>
        <w:t xml:space="preserve">the FED </w:t>
      </w:r>
      <w:r w:rsidRPr="00237F8C">
        <w:rPr>
          <w:rFonts w:ascii="Book Antiqua" w:hAnsi="Book Antiqua"/>
          <w:sz w:val="26"/>
          <w:szCs w:val="26"/>
        </w:rPr>
        <w:t xml:space="preserve">complaint were issued prior to the </w:t>
      </w:r>
      <w:r w:rsidR="00DC001A">
        <w:rPr>
          <w:rFonts w:ascii="Book Antiqua" w:hAnsi="Book Antiqua"/>
          <w:sz w:val="26"/>
          <w:szCs w:val="26"/>
        </w:rPr>
        <w:t xml:space="preserve">December 14, 2021 </w:t>
      </w:r>
      <w:r w:rsidRPr="00237F8C">
        <w:rPr>
          <w:rFonts w:ascii="Book Antiqua" w:hAnsi="Book Antiqua"/>
          <w:sz w:val="26"/>
          <w:szCs w:val="26"/>
        </w:rPr>
        <w:t>effective date of SB 891.</w:t>
      </w:r>
    </w:p>
    <w:p w14:paraId="2861678C" w14:textId="77777777" w:rsidR="005A5ED7" w:rsidRDefault="005A5ED7" w:rsidP="00237F8C">
      <w:pPr>
        <w:spacing w:line="360" w:lineRule="exact"/>
        <w:jc w:val="both"/>
        <w:rPr>
          <w:rFonts w:ascii="Book Antiqua" w:hAnsi="Book Antiqua"/>
          <w:sz w:val="26"/>
          <w:szCs w:val="26"/>
        </w:rPr>
      </w:pPr>
    </w:p>
    <w:p w14:paraId="62A8B150" w14:textId="1BA15CC4" w:rsidR="00237F8C" w:rsidRPr="00237F8C" w:rsidRDefault="005A5ED7" w:rsidP="00237F8C">
      <w:pPr>
        <w:spacing w:line="360" w:lineRule="exact"/>
        <w:jc w:val="both"/>
        <w:rPr>
          <w:rFonts w:ascii="Book Antiqua" w:hAnsi="Book Antiqua"/>
          <w:sz w:val="26"/>
          <w:szCs w:val="26"/>
        </w:rPr>
      </w:pPr>
      <w:r w:rsidRPr="005A5ED7">
        <w:rPr>
          <w:rFonts w:ascii="Book Antiqua" w:hAnsi="Book Antiqua"/>
          <w:b/>
          <w:bCs/>
          <w:i/>
          <w:iCs/>
          <w:sz w:val="26"/>
          <w:szCs w:val="26"/>
        </w:rPr>
        <w:t>Translations.</w:t>
      </w:r>
      <w:r>
        <w:rPr>
          <w:rFonts w:ascii="Book Antiqua" w:hAnsi="Book Antiqua"/>
          <w:sz w:val="26"/>
          <w:szCs w:val="26"/>
        </w:rPr>
        <w:t xml:space="preserve"> </w:t>
      </w:r>
      <w:r w:rsidR="00237F8C" w:rsidRPr="00237F8C">
        <w:rPr>
          <w:rFonts w:ascii="Book Antiqua" w:hAnsi="Book Antiqua"/>
          <w:sz w:val="26"/>
          <w:szCs w:val="26"/>
        </w:rPr>
        <w:t>The court system will translate the</w:t>
      </w:r>
      <w:r w:rsidR="007917ED">
        <w:rPr>
          <w:rFonts w:ascii="Book Antiqua" w:hAnsi="Book Antiqua"/>
          <w:sz w:val="26"/>
          <w:szCs w:val="26"/>
        </w:rPr>
        <w:t xml:space="preserve"> N</w:t>
      </w:r>
      <w:r w:rsidR="00237F8C" w:rsidRPr="00237F8C">
        <w:rPr>
          <w:rFonts w:ascii="Book Antiqua" w:hAnsi="Book Antiqua"/>
          <w:sz w:val="26"/>
          <w:szCs w:val="26"/>
        </w:rPr>
        <w:t>otice into Spanish, Korean, Russian, Vietnamese and Chinese. The</w:t>
      </w:r>
      <w:r w:rsidR="007917ED">
        <w:rPr>
          <w:rFonts w:ascii="Book Antiqua" w:hAnsi="Book Antiqua"/>
          <w:sz w:val="26"/>
          <w:szCs w:val="26"/>
        </w:rPr>
        <w:t>y</w:t>
      </w:r>
      <w:r w:rsidR="00237F8C" w:rsidRPr="00237F8C">
        <w:rPr>
          <w:rFonts w:ascii="Book Antiqua" w:hAnsi="Book Antiqua"/>
          <w:sz w:val="26"/>
          <w:szCs w:val="26"/>
        </w:rPr>
        <w:t xml:space="preserve"> will be available on their main webpage www.courts.oregon.gov. The court clerk is also required to mail the</w:t>
      </w:r>
      <w:r w:rsidR="007917ED">
        <w:rPr>
          <w:rFonts w:ascii="Book Antiqua" w:hAnsi="Book Antiqua"/>
          <w:sz w:val="26"/>
          <w:szCs w:val="26"/>
        </w:rPr>
        <w:t xml:space="preserve"> N</w:t>
      </w:r>
      <w:r w:rsidR="00237F8C" w:rsidRPr="00237F8C">
        <w:rPr>
          <w:rFonts w:ascii="Book Antiqua" w:hAnsi="Book Antiqua"/>
          <w:sz w:val="26"/>
          <w:szCs w:val="26"/>
        </w:rPr>
        <w:t xml:space="preserve">otice with any summons and complaint mailed to a tenant from the Court. </w:t>
      </w:r>
    </w:p>
    <w:p w14:paraId="7CA74444" w14:textId="77777777" w:rsidR="00237F8C" w:rsidRPr="00237F8C" w:rsidRDefault="00237F8C" w:rsidP="00237F8C">
      <w:pPr>
        <w:spacing w:line="360" w:lineRule="exact"/>
        <w:jc w:val="both"/>
        <w:rPr>
          <w:rFonts w:ascii="Book Antiqua" w:hAnsi="Book Antiqua"/>
          <w:sz w:val="26"/>
          <w:szCs w:val="26"/>
        </w:rPr>
      </w:pPr>
    </w:p>
    <w:p w14:paraId="37F2EEB9" w14:textId="5C63DF2E" w:rsidR="00237F8C" w:rsidRPr="00237F8C" w:rsidRDefault="00237F8C" w:rsidP="00D34362">
      <w:pPr>
        <w:spacing w:line="360" w:lineRule="exact"/>
        <w:jc w:val="both"/>
        <w:rPr>
          <w:rFonts w:ascii="Book Antiqua" w:hAnsi="Book Antiqua"/>
          <w:sz w:val="26"/>
          <w:szCs w:val="26"/>
        </w:rPr>
      </w:pPr>
      <w:r w:rsidRPr="00F72026">
        <w:rPr>
          <w:rFonts w:ascii="Book Antiqua" w:hAnsi="Book Antiqua"/>
          <w:b/>
          <w:bCs/>
          <w:i/>
          <w:iCs/>
          <w:sz w:val="26"/>
          <w:szCs w:val="26"/>
        </w:rPr>
        <w:t>Tenant Delivery of Documentation.</w:t>
      </w:r>
      <w:r w:rsidRPr="00237F8C">
        <w:rPr>
          <w:rFonts w:ascii="Book Antiqua" w:hAnsi="Book Antiqua"/>
          <w:sz w:val="26"/>
          <w:szCs w:val="26"/>
        </w:rPr>
        <w:t xml:space="preserve"> </w:t>
      </w:r>
      <w:r w:rsidR="00D34362" w:rsidRPr="00774F2F">
        <w:rPr>
          <w:rFonts w:ascii="Book Antiqua" w:hAnsi="Book Antiqua"/>
          <w:sz w:val="26"/>
          <w:szCs w:val="26"/>
        </w:rPr>
        <w:t>“Documentation” includes electronic mail, a screenshot or other written or electronic evidence verifying the submission of an application for emergency rental assistance.</w:t>
      </w:r>
      <w:r w:rsidR="00D34362" w:rsidRPr="00774F2F">
        <w:rPr>
          <w:rFonts w:ascii="Book Antiqua" w:hAnsi="Book Antiqua"/>
          <w:b/>
          <w:bCs/>
          <w:i/>
          <w:iCs/>
          <w:color w:val="FF0000"/>
          <w:sz w:val="26"/>
          <w:szCs w:val="26"/>
        </w:rPr>
        <w:t xml:space="preserve"> </w:t>
      </w:r>
      <w:r w:rsidRPr="00774F2F">
        <w:rPr>
          <w:rFonts w:ascii="Book Antiqua" w:hAnsi="Book Antiqua"/>
          <w:sz w:val="26"/>
          <w:szCs w:val="26"/>
        </w:rPr>
        <w:t>The tenant may deliver the Documentation (including but not limited to, copies, photog</w:t>
      </w:r>
      <w:r w:rsidRPr="00237F8C">
        <w:rPr>
          <w:rFonts w:ascii="Book Antiqua" w:hAnsi="Book Antiqua"/>
          <w:sz w:val="26"/>
          <w:szCs w:val="26"/>
        </w:rPr>
        <w:t>raphs, screen shots,  etc.) by email, text message, or any other “method reasonably calculated to achieve receipt by the landlord.”</w:t>
      </w:r>
    </w:p>
    <w:p w14:paraId="7DBCF928" w14:textId="77777777" w:rsidR="00237F8C" w:rsidRPr="00237F8C" w:rsidRDefault="00237F8C" w:rsidP="00237F8C">
      <w:pPr>
        <w:spacing w:line="360" w:lineRule="exact"/>
        <w:jc w:val="both"/>
        <w:rPr>
          <w:rFonts w:ascii="Book Antiqua" w:hAnsi="Book Antiqua"/>
          <w:sz w:val="26"/>
          <w:szCs w:val="26"/>
        </w:rPr>
      </w:pPr>
    </w:p>
    <w:p w14:paraId="55AF7E73" w14:textId="31F616C6" w:rsidR="00237F8C" w:rsidRDefault="00237F8C" w:rsidP="00237F8C">
      <w:pPr>
        <w:spacing w:line="360" w:lineRule="exact"/>
        <w:jc w:val="both"/>
        <w:rPr>
          <w:rFonts w:ascii="Book Antiqua" w:hAnsi="Book Antiqua"/>
          <w:sz w:val="26"/>
          <w:szCs w:val="26"/>
        </w:rPr>
      </w:pPr>
      <w:r w:rsidRPr="005157C2">
        <w:rPr>
          <w:rFonts w:ascii="Book Antiqua" w:hAnsi="Book Antiqua"/>
          <w:b/>
          <w:bCs/>
          <w:i/>
          <w:iCs/>
          <w:sz w:val="26"/>
          <w:szCs w:val="26"/>
        </w:rPr>
        <w:t xml:space="preserve">Timing of </w:t>
      </w:r>
      <w:r w:rsidR="002A3DFD">
        <w:rPr>
          <w:rFonts w:ascii="Book Antiqua" w:hAnsi="Book Antiqua"/>
          <w:b/>
          <w:bCs/>
          <w:i/>
          <w:iCs/>
          <w:sz w:val="26"/>
          <w:szCs w:val="26"/>
        </w:rPr>
        <w:t xml:space="preserve">Delivery of </w:t>
      </w:r>
      <w:r w:rsidRPr="005157C2">
        <w:rPr>
          <w:rFonts w:ascii="Book Antiqua" w:hAnsi="Book Antiqua"/>
          <w:b/>
          <w:bCs/>
          <w:i/>
          <w:iCs/>
          <w:sz w:val="26"/>
          <w:szCs w:val="26"/>
        </w:rPr>
        <w:t>Documentation</w:t>
      </w:r>
      <w:r w:rsidR="002A3DFD">
        <w:rPr>
          <w:rFonts w:ascii="Book Antiqua" w:hAnsi="Book Antiqua"/>
          <w:b/>
          <w:bCs/>
          <w:i/>
          <w:iCs/>
          <w:sz w:val="26"/>
          <w:szCs w:val="26"/>
        </w:rPr>
        <w:t xml:space="preserve"> to Landlord</w:t>
      </w:r>
      <w:r w:rsidRPr="00237F8C">
        <w:rPr>
          <w:rFonts w:ascii="Book Antiqua" w:hAnsi="Book Antiqua"/>
          <w:sz w:val="26"/>
          <w:szCs w:val="26"/>
        </w:rPr>
        <w:t xml:space="preserve">. </w:t>
      </w:r>
    </w:p>
    <w:p w14:paraId="4892D2A0" w14:textId="27E7B0F1" w:rsidR="00237F8C" w:rsidRPr="002A3DFD" w:rsidRDefault="00237F8C" w:rsidP="002A3DFD">
      <w:pPr>
        <w:pStyle w:val="ListParagraph"/>
        <w:numPr>
          <w:ilvl w:val="0"/>
          <w:numId w:val="16"/>
        </w:numPr>
        <w:spacing w:line="360" w:lineRule="exact"/>
        <w:contextualSpacing/>
        <w:jc w:val="both"/>
        <w:rPr>
          <w:sz w:val="26"/>
          <w:szCs w:val="26"/>
        </w:rPr>
      </w:pPr>
      <w:r w:rsidRPr="002A3DFD">
        <w:rPr>
          <w:sz w:val="26"/>
          <w:szCs w:val="26"/>
        </w:rPr>
        <w:t xml:space="preserve">If the tenant </w:t>
      </w:r>
      <w:r w:rsidR="002A3DFD">
        <w:rPr>
          <w:sz w:val="26"/>
          <w:szCs w:val="26"/>
        </w:rPr>
        <w:t xml:space="preserve">delivers </w:t>
      </w:r>
      <w:r w:rsidRPr="002A3DFD">
        <w:rPr>
          <w:sz w:val="26"/>
          <w:szCs w:val="26"/>
        </w:rPr>
        <w:t>the appropriate Documentation of an application for rental assistance</w:t>
      </w:r>
      <w:r w:rsidR="002A3DFD">
        <w:rPr>
          <w:sz w:val="26"/>
          <w:szCs w:val="26"/>
        </w:rPr>
        <w:t>,</w:t>
      </w:r>
      <w:r w:rsidRPr="002A3DFD">
        <w:rPr>
          <w:sz w:val="26"/>
          <w:szCs w:val="26"/>
        </w:rPr>
        <w:t xml:space="preserve"> the landlord may </w:t>
      </w:r>
      <w:r w:rsidRPr="002A3DFD">
        <w:rPr>
          <w:i/>
          <w:iCs/>
          <w:sz w:val="26"/>
          <w:szCs w:val="26"/>
          <w:u w:val="single"/>
        </w:rPr>
        <w:t>not</w:t>
      </w:r>
      <w:r w:rsidRPr="002A3DFD">
        <w:rPr>
          <w:sz w:val="26"/>
          <w:szCs w:val="26"/>
        </w:rPr>
        <w:t xml:space="preserve"> issue a notice of termination for nonpayment </w:t>
      </w:r>
      <w:r w:rsidRPr="002A3DFD">
        <w:rPr>
          <w:i/>
          <w:iCs/>
          <w:sz w:val="26"/>
          <w:szCs w:val="26"/>
          <w:u w:val="single"/>
        </w:rPr>
        <w:t xml:space="preserve">until </w:t>
      </w:r>
      <w:r w:rsidR="002A3DFD">
        <w:rPr>
          <w:i/>
          <w:iCs/>
          <w:sz w:val="26"/>
          <w:szCs w:val="26"/>
          <w:u w:val="single"/>
        </w:rPr>
        <w:t xml:space="preserve">after </w:t>
      </w:r>
      <w:r w:rsidRPr="002A3DFD">
        <w:rPr>
          <w:i/>
          <w:iCs/>
          <w:sz w:val="26"/>
          <w:szCs w:val="26"/>
          <w:u w:val="single"/>
        </w:rPr>
        <w:t>they receive notice that the application is no longer pending, or June 30, 2022, whichever first</w:t>
      </w:r>
      <w:r w:rsidR="00633A29">
        <w:rPr>
          <w:i/>
          <w:iCs/>
          <w:sz w:val="26"/>
          <w:szCs w:val="26"/>
          <w:u w:val="single"/>
        </w:rPr>
        <w:t xml:space="preserve"> occurs</w:t>
      </w:r>
      <w:r w:rsidRPr="002A3DFD">
        <w:rPr>
          <w:sz w:val="26"/>
          <w:szCs w:val="26"/>
        </w:rPr>
        <w:t xml:space="preserve">. </w:t>
      </w:r>
    </w:p>
    <w:p w14:paraId="43A71D97" w14:textId="63315CA0" w:rsidR="00237F8C" w:rsidRPr="00633A29" w:rsidRDefault="00237F8C" w:rsidP="00B916F6">
      <w:pPr>
        <w:pStyle w:val="ListParagraph"/>
        <w:numPr>
          <w:ilvl w:val="0"/>
          <w:numId w:val="16"/>
        </w:numPr>
        <w:spacing w:line="360" w:lineRule="exact"/>
        <w:contextualSpacing/>
        <w:jc w:val="both"/>
        <w:rPr>
          <w:sz w:val="26"/>
          <w:szCs w:val="26"/>
        </w:rPr>
      </w:pPr>
      <w:r w:rsidRPr="00633A29">
        <w:rPr>
          <w:sz w:val="26"/>
          <w:szCs w:val="26"/>
        </w:rPr>
        <w:t xml:space="preserve">If the tenant provides the appropriate Documentation </w:t>
      </w:r>
      <w:r w:rsidRPr="00633A29">
        <w:rPr>
          <w:i/>
          <w:iCs/>
          <w:sz w:val="26"/>
          <w:szCs w:val="26"/>
          <w:u w:val="single"/>
        </w:rPr>
        <w:t>after</w:t>
      </w:r>
      <w:r w:rsidRPr="00633A29">
        <w:rPr>
          <w:sz w:val="26"/>
          <w:szCs w:val="26"/>
        </w:rPr>
        <w:t xml:space="preserve"> the issuance of a notice of termination for nonpayment</w:t>
      </w:r>
      <w:r w:rsidR="00633A29" w:rsidRPr="00633A29">
        <w:rPr>
          <w:sz w:val="26"/>
          <w:szCs w:val="26"/>
        </w:rPr>
        <w:t>,</w:t>
      </w:r>
      <w:r w:rsidRPr="00633A29">
        <w:rPr>
          <w:sz w:val="26"/>
          <w:szCs w:val="26"/>
        </w:rPr>
        <w:t xml:space="preserve"> the landlord may not act upon that notice of termination or initiate an FED based on the nonpayment. In order to terminate </w:t>
      </w:r>
      <w:r w:rsidR="00633A29">
        <w:rPr>
          <w:sz w:val="26"/>
          <w:szCs w:val="26"/>
        </w:rPr>
        <w:t xml:space="preserve">the </w:t>
      </w:r>
      <w:r w:rsidRPr="00633A29">
        <w:rPr>
          <w:sz w:val="26"/>
          <w:szCs w:val="26"/>
        </w:rPr>
        <w:t xml:space="preserve">tenancy, the landlord must wait until </w:t>
      </w:r>
      <w:r w:rsidRPr="00633A29">
        <w:rPr>
          <w:i/>
          <w:iCs/>
          <w:sz w:val="26"/>
          <w:szCs w:val="26"/>
          <w:u w:val="single"/>
        </w:rPr>
        <w:t>after</w:t>
      </w:r>
      <w:r w:rsidRPr="00633A29">
        <w:rPr>
          <w:sz w:val="26"/>
          <w:szCs w:val="26"/>
        </w:rPr>
        <w:t xml:space="preserve"> they have been notified that the tenant’s appli</w:t>
      </w:r>
      <w:r w:rsidRPr="00774F2F">
        <w:rPr>
          <w:sz w:val="26"/>
          <w:szCs w:val="26"/>
        </w:rPr>
        <w:t xml:space="preserve">cation for assistance is no longer pending, or </w:t>
      </w:r>
      <w:r w:rsidR="00D34362" w:rsidRPr="00774F2F">
        <w:rPr>
          <w:sz w:val="26"/>
          <w:szCs w:val="26"/>
        </w:rPr>
        <w:t>September</w:t>
      </w:r>
      <w:r w:rsidRPr="00774F2F">
        <w:rPr>
          <w:sz w:val="26"/>
          <w:szCs w:val="26"/>
        </w:rPr>
        <w:t xml:space="preserve"> 30, 2022</w:t>
      </w:r>
      <w:r w:rsidR="00633A29" w:rsidRPr="00774F2F">
        <w:rPr>
          <w:sz w:val="26"/>
          <w:szCs w:val="26"/>
        </w:rPr>
        <w:t xml:space="preserve"> (whichever first occurs)</w:t>
      </w:r>
      <w:r w:rsidRPr="00774F2F">
        <w:rPr>
          <w:sz w:val="26"/>
          <w:szCs w:val="26"/>
        </w:rPr>
        <w:t>, before issuing a new notice of termination.</w:t>
      </w:r>
      <w:r w:rsidR="00D34362" w:rsidRPr="00774F2F">
        <w:rPr>
          <w:sz w:val="26"/>
          <w:szCs w:val="26"/>
        </w:rPr>
        <w:t xml:space="preserve"> [June 30</w:t>
      </w:r>
      <w:r w:rsidR="00774F2F" w:rsidRPr="00774F2F">
        <w:rPr>
          <w:sz w:val="26"/>
          <w:szCs w:val="26"/>
        </w:rPr>
        <w:t>, 2022</w:t>
      </w:r>
      <w:r w:rsidR="00D34362" w:rsidRPr="00774F2F">
        <w:rPr>
          <w:sz w:val="26"/>
          <w:szCs w:val="26"/>
        </w:rPr>
        <w:t xml:space="preserve"> is the last day a tenant can apply for emergency assistance, however the protections against eviction do not stop until the application is no longer pending </w:t>
      </w:r>
      <w:r w:rsidR="00D34362" w:rsidRPr="00774F2F">
        <w:rPr>
          <w:sz w:val="26"/>
          <w:szCs w:val="26"/>
          <w:u w:val="single"/>
        </w:rPr>
        <w:t>OR</w:t>
      </w:r>
      <w:r w:rsidR="00D34362" w:rsidRPr="00774F2F">
        <w:rPr>
          <w:sz w:val="26"/>
          <w:szCs w:val="26"/>
        </w:rPr>
        <w:t xml:space="preserve"> Sept</w:t>
      </w:r>
      <w:r w:rsidR="00774F2F">
        <w:rPr>
          <w:sz w:val="26"/>
          <w:szCs w:val="26"/>
        </w:rPr>
        <w:t>ember</w:t>
      </w:r>
      <w:r w:rsidR="00D34362" w:rsidRPr="00774F2F">
        <w:rPr>
          <w:sz w:val="26"/>
          <w:szCs w:val="26"/>
        </w:rPr>
        <w:t xml:space="preserve"> 30, </w:t>
      </w:r>
      <w:r w:rsidR="00774F2F" w:rsidRPr="00774F2F">
        <w:rPr>
          <w:sz w:val="26"/>
          <w:szCs w:val="26"/>
        </w:rPr>
        <w:t>2021</w:t>
      </w:r>
      <w:r w:rsidR="00774F2F">
        <w:rPr>
          <w:sz w:val="26"/>
          <w:szCs w:val="26"/>
        </w:rPr>
        <w:t xml:space="preserve">, i.e., when </w:t>
      </w:r>
      <w:r w:rsidR="00774F2F" w:rsidRPr="00774F2F">
        <w:rPr>
          <w:sz w:val="26"/>
          <w:szCs w:val="26"/>
        </w:rPr>
        <w:t xml:space="preserve">the protection runs out. </w:t>
      </w:r>
    </w:p>
    <w:p w14:paraId="7D26FF0C" w14:textId="77777777" w:rsidR="00237F8C" w:rsidRPr="002A3DFD" w:rsidRDefault="00237F8C" w:rsidP="002A3DFD">
      <w:pPr>
        <w:pStyle w:val="ListParagraph"/>
        <w:numPr>
          <w:ilvl w:val="0"/>
          <w:numId w:val="16"/>
        </w:numPr>
        <w:spacing w:line="360" w:lineRule="exact"/>
        <w:contextualSpacing/>
        <w:jc w:val="both"/>
        <w:rPr>
          <w:sz w:val="26"/>
          <w:szCs w:val="26"/>
        </w:rPr>
      </w:pPr>
      <w:r w:rsidRPr="002A3DFD">
        <w:rPr>
          <w:sz w:val="26"/>
          <w:szCs w:val="26"/>
        </w:rPr>
        <w:lastRenderedPageBreak/>
        <w:t xml:space="preserve">If the landlord has received notice that a tenant’s application is no longer pending, the landlord need not provide a new Eviction Protection Notice with the new notice of termination. </w:t>
      </w:r>
    </w:p>
    <w:p w14:paraId="5C135D5A" w14:textId="042E05F6" w:rsidR="00237F8C" w:rsidRPr="002A3DFD" w:rsidRDefault="00237F8C" w:rsidP="002A3DFD">
      <w:pPr>
        <w:pStyle w:val="ListParagraph"/>
        <w:numPr>
          <w:ilvl w:val="0"/>
          <w:numId w:val="16"/>
        </w:numPr>
        <w:spacing w:line="360" w:lineRule="exact"/>
        <w:contextualSpacing/>
        <w:jc w:val="both"/>
        <w:rPr>
          <w:sz w:val="26"/>
          <w:szCs w:val="26"/>
        </w:rPr>
      </w:pPr>
      <w:r w:rsidRPr="002A3DFD">
        <w:rPr>
          <w:sz w:val="26"/>
          <w:szCs w:val="26"/>
        </w:rPr>
        <w:t xml:space="preserve">If eviction proceedings have already begun, the court will cease all action until </w:t>
      </w:r>
      <w:r w:rsidR="005315A4">
        <w:rPr>
          <w:sz w:val="26"/>
          <w:szCs w:val="26"/>
        </w:rPr>
        <w:t xml:space="preserve">after it </w:t>
      </w:r>
      <w:r w:rsidRPr="002A3DFD">
        <w:rPr>
          <w:sz w:val="26"/>
          <w:szCs w:val="26"/>
        </w:rPr>
        <w:t>receive</w:t>
      </w:r>
      <w:r w:rsidR="005315A4">
        <w:rPr>
          <w:sz w:val="26"/>
          <w:szCs w:val="26"/>
        </w:rPr>
        <w:t xml:space="preserve">s </w:t>
      </w:r>
      <w:r w:rsidRPr="002A3DFD">
        <w:rPr>
          <w:sz w:val="26"/>
          <w:szCs w:val="26"/>
        </w:rPr>
        <w:t>from the tenant or the landlord, notice that the application is no longer pending. The court will then re-</w:t>
      </w:r>
      <w:r w:rsidR="00E82D7C">
        <w:rPr>
          <w:sz w:val="26"/>
          <w:szCs w:val="26"/>
        </w:rPr>
        <w:t xml:space="preserve">schedule </w:t>
      </w:r>
      <w:r w:rsidRPr="002A3DFD">
        <w:rPr>
          <w:sz w:val="26"/>
          <w:szCs w:val="26"/>
        </w:rPr>
        <w:t>a new first appearance</w:t>
      </w:r>
      <w:r w:rsidR="00E82D7C">
        <w:rPr>
          <w:sz w:val="26"/>
          <w:szCs w:val="26"/>
        </w:rPr>
        <w:t xml:space="preserve"> date</w:t>
      </w:r>
      <w:r w:rsidRPr="002A3DFD">
        <w:rPr>
          <w:sz w:val="26"/>
          <w:szCs w:val="26"/>
        </w:rPr>
        <w:t xml:space="preserve">. </w:t>
      </w:r>
    </w:p>
    <w:p w14:paraId="6DF13868" w14:textId="77777777" w:rsidR="00237F8C" w:rsidRPr="00237F8C" w:rsidRDefault="00237F8C" w:rsidP="00237F8C">
      <w:pPr>
        <w:pStyle w:val="ListParagraph"/>
        <w:spacing w:line="360" w:lineRule="exact"/>
        <w:jc w:val="both"/>
        <w:rPr>
          <w:sz w:val="26"/>
          <w:szCs w:val="26"/>
        </w:rPr>
      </w:pPr>
    </w:p>
    <w:p w14:paraId="5A0DF181" w14:textId="03F3B514" w:rsidR="00237F8C" w:rsidRDefault="00237F8C" w:rsidP="00237F8C">
      <w:pPr>
        <w:spacing w:line="360" w:lineRule="exact"/>
        <w:jc w:val="both"/>
        <w:rPr>
          <w:rFonts w:ascii="Book Antiqua" w:hAnsi="Book Antiqua"/>
          <w:sz w:val="26"/>
          <w:szCs w:val="26"/>
        </w:rPr>
      </w:pPr>
      <w:r w:rsidRPr="005A3AB5">
        <w:rPr>
          <w:rFonts w:ascii="Book Antiqua" w:hAnsi="Book Antiqua"/>
          <w:b/>
          <w:bCs/>
          <w:i/>
          <w:iCs/>
          <w:sz w:val="26"/>
          <w:szCs w:val="26"/>
        </w:rPr>
        <w:t>Dismissal of Eviction for Nonpayment.</w:t>
      </w:r>
      <w:r w:rsidRPr="00237F8C">
        <w:rPr>
          <w:rFonts w:ascii="Book Antiqua" w:hAnsi="Book Antiqua"/>
          <w:sz w:val="26"/>
          <w:szCs w:val="26"/>
        </w:rPr>
        <w:t xml:space="preserve"> The court shall dismiss an FED action based upon a notice of termination for nonpayment if:</w:t>
      </w:r>
    </w:p>
    <w:p w14:paraId="37766428" w14:textId="77777777" w:rsidR="005A3AB5" w:rsidRPr="00237F8C" w:rsidRDefault="005A3AB5" w:rsidP="00237F8C">
      <w:pPr>
        <w:spacing w:line="360" w:lineRule="exact"/>
        <w:jc w:val="both"/>
        <w:rPr>
          <w:rFonts w:ascii="Book Antiqua" w:hAnsi="Book Antiqua"/>
          <w:sz w:val="26"/>
          <w:szCs w:val="26"/>
        </w:rPr>
      </w:pPr>
    </w:p>
    <w:p w14:paraId="63F6C84A" w14:textId="765E1536" w:rsidR="00237F8C" w:rsidRPr="00B2484D" w:rsidRDefault="00237F8C" w:rsidP="00B2484D">
      <w:pPr>
        <w:pStyle w:val="ListParagraph"/>
        <w:numPr>
          <w:ilvl w:val="0"/>
          <w:numId w:val="17"/>
        </w:numPr>
        <w:spacing w:line="360" w:lineRule="exact"/>
        <w:contextualSpacing/>
        <w:jc w:val="both"/>
        <w:rPr>
          <w:sz w:val="26"/>
          <w:szCs w:val="26"/>
        </w:rPr>
      </w:pPr>
      <w:r w:rsidRPr="00B2484D">
        <w:rPr>
          <w:sz w:val="26"/>
          <w:szCs w:val="26"/>
        </w:rPr>
        <w:t xml:space="preserve">The landlord failed to provide the </w:t>
      </w:r>
      <w:r w:rsidR="00B2484D">
        <w:rPr>
          <w:sz w:val="26"/>
          <w:szCs w:val="26"/>
        </w:rPr>
        <w:t>u</w:t>
      </w:r>
      <w:r w:rsidRPr="00B2484D">
        <w:rPr>
          <w:sz w:val="26"/>
          <w:szCs w:val="26"/>
        </w:rPr>
        <w:t xml:space="preserve">pdated Eviction Protection Notice; </w:t>
      </w:r>
    </w:p>
    <w:p w14:paraId="0D6EA457" w14:textId="5EAF4450" w:rsidR="00237F8C" w:rsidRPr="00B2484D" w:rsidRDefault="00237F8C" w:rsidP="00B2484D">
      <w:pPr>
        <w:pStyle w:val="ListParagraph"/>
        <w:numPr>
          <w:ilvl w:val="0"/>
          <w:numId w:val="17"/>
        </w:numPr>
        <w:spacing w:line="360" w:lineRule="exact"/>
        <w:contextualSpacing/>
        <w:jc w:val="both"/>
        <w:rPr>
          <w:sz w:val="26"/>
          <w:szCs w:val="26"/>
        </w:rPr>
      </w:pPr>
      <w:r w:rsidRPr="00B2484D">
        <w:rPr>
          <w:sz w:val="26"/>
          <w:szCs w:val="26"/>
        </w:rPr>
        <w:t>The landlord “substantially caused” the tenant’s nonpayment by refusing to “reasonably participate with a rental assistance program</w:t>
      </w:r>
      <w:r w:rsidR="00A057F5" w:rsidRPr="00B2484D">
        <w:rPr>
          <w:sz w:val="26"/>
          <w:szCs w:val="26"/>
        </w:rPr>
        <w:t>;”</w:t>
      </w:r>
      <w:r w:rsidRPr="00B2484D">
        <w:rPr>
          <w:sz w:val="26"/>
          <w:szCs w:val="26"/>
        </w:rPr>
        <w:t xml:space="preserve"> </w:t>
      </w:r>
    </w:p>
    <w:p w14:paraId="68A34ED5" w14:textId="77777777" w:rsidR="00237F8C" w:rsidRPr="00B2484D" w:rsidRDefault="00237F8C" w:rsidP="00B2484D">
      <w:pPr>
        <w:pStyle w:val="ListParagraph"/>
        <w:numPr>
          <w:ilvl w:val="1"/>
          <w:numId w:val="17"/>
        </w:numPr>
        <w:spacing w:line="360" w:lineRule="exact"/>
        <w:contextualSpacing/>
        <w:jc w:val="both"/>
        <w:rPr>
          <w:i/>
          <w:iCs/>
          <w:sz w:val="26"/>
          <w:szCs w:val="26"/>
        </w:rPr>
      </w:pPr>
      <w:r w:rsidRPr="00B2484D">
        <w:rPr>
          <w:i/>
          <w:iCs/>
          <w:sz w:val="26"/>
          <w:szCs w:val="26"/>
        </w:rPr>
        <w:t>Note: Landlord is not required to apply for the Landlord Compensation Fund, so the failure to do so cannot be used to claim the landlord “caused” the tenant’s nonpayment.</w:t>
      </w:r>
    </w:p>
    <w:p w14:paraId="5C14282E" w14:textId="0F866311" w:rsidR="00237F8C" w:rsidRPr="00B2484D" w:rsidRDefault="00237F8C" w:rsidP="00B2484D">
      <w:pPr>
        <w:pStyle w:val="ListParagraph"/>
        <w:numPr>
          <w:ilvl w:val="0"/>
          <w:numId w:val="17"/>
        </w:numPr>
        <w:spacing w:line="360" w:lineRule="exact"/>
        <w:contextualSpacing/>
        <w:jc w:val="both"/>
        <w:rPr>
          <w:sz w:val="26"/>
          <w:szCs w:val="26"/>
        </w:rPr>
      </w:pPr>
      <w:r w:rsidRPr="00B2484D">
        <w:rPr>
          <w:sz w:val="26"/>
          <w:szCs w:val="26"/>
        </w:rPr>
        <w:t>The landlord receives rental assistance or any other payments covering the amount of nonpayment owed under the notice</w:t>
      </w:r>
      <w:r w:rsidR="00B2484D">
        <w:rPr>
          <w:sz w:val="26"/>
          <w:szCs w:val="26"/>
        </w:rPr>
        <w:t xml:space="preserve"> of termination</w:t>
      </w:r>
      <w:r w:rsidRPr="00B2484D">
        <w:rPr>
          <w:sz w:val="26"/>
          <w:szCs w:val="26"/>
        </w:rPr>
        <w:t>; or</w:t>
      </w:r>
    </w:p>
    <w:p w14:paraId="0C564EA5" w14:textId="77777777" w:rsidR="00237F8C" w:rsidRPr="00B2484D" w:rsidRDefault="00237F8C" w:rsidP="00B2484D">
      <w:pPr>
        <w:pStyle w:val="ListParagraph"/>
        <w:numPr>
          <w:ilvl w:val="0"/>
          <w:numId w:val="17"/>
        </w:numPr>
        <w:spacing w:line="360" w:lineRule="exact"/>
        <w:contextualSpacing/>
        <w:jc w:val="both"/>
        <w:rPr>
          <w:sz w:val="26"/>
          <w:szCs w:val="26"/>
        </w:rPr>
      </w:pPr>
      <w:r w:rsidRPr="00B2484D">
        <w:rPr>
          <w:sz w:val="26"/>
          <w:szCs w:val="26"/>
        </w:rPr>
        <w:t xml:space="preserve">The tenant had provided the Documentation before the FED (or action for possession) was filed. </w:t>
      </w:r>
    </w:p>
    <w:p w14:paraId="6613D2ED" w14:textId="77777777" w:rsidR="00237F8C" w:rsidRPr="00237F8C" w:rsidRDefault="00237F8C" w:rsidP="00237F8C">
      <w:pPr>
        <w:spacing w:line="360" w:lineRule="exact"/>
        <w:jc w:val="both"/>
        <w:rPr>
          <w:rFonts w:ascii="Book Antiqua" w:hAnsi="Book Antiqua"/>
          <w:sz w:val="26"/>
          <w:szCs w:val="26"/>
        </w:rPr>
      </w:pPr>
    </w:p>
    <w:p w14:paraId="218FB6C6" w14:textId="66D60F56" w:rsidR="00237F8C" w:rsidRPr="00237F8C" w:rsidRDefault="00237F8C" w:rsidP="00237F8C">
      <w:pPr>
        <w:spacing w:line="360" w:lineRule="exact"/>
        <w:jc w:val="both"/>
        <w:rPr>
          <w:rFonts w:ascii="Book Antiqua" w:hAnsi="Book Antiqua"/>
          <w:sz w:val="26"/>
          <w:szCs w:val="26"/>
        </w:rPr>
      </w:pPr>
      <w:r w:rsidRPr="004C599B">
        <w:rPr>
          <w:rFonts w:ascii="Book Antiqua" w:hAnsi="Book Antiqua"/>
          <w:b/>
          <w:bCs/>
          <w:i/>
          <w:iCs/>
          <w:sz w:val="26"/>
          <w:szCs w:val="26"/>
        </w:rPr>
        <w:t>Penalties for Landlord Violation</w:t>
      </w:r>
      <w:r w:rsidRPr="004C599B">
        <w:rPr>
          <w:rFonts w:ascii="Book Antiqua" w:hAnsi="Book Antiqua"/>
          <w:b/>
          <w:bCs/>
          <w:sz w:val="26"/>
          <w:szCs w:val="26"/>
        </w:rPr>
        <w:t>.</w:t>
      </w:r>
      <w:r w:rsidRPr="00237F8C">
        <w:rPr>
          <w:rFonts w:ascii="Book Antiqua" w:hAnsi="Book Antiqua"/>
          <w:sz w:val="26"/>
          <w:szCs w:val="26"/>
        </w:rPr>
        <w:t xml:space="preserve"> Penalties for violating SB 891’s safe harbor rules remain the same as SB 278</w:t>
      </w:r>
      <w:r w:rsidR="004C599B">
        <w:rPr>
          <w:rFonts w:ascii="Book Antiqua" w:hAnsi="Book Antiqua"/>
          <w:sz w:val="26"/>
          <w:szCs w:val="26"/>
        </w:rPr>
        <w:t>;</w:t>
      </w:r>
      <w:r w:rsidRPr="00237F8C">
        <w:rPr>
          <w:rFonts w:ascii="Book Antiqua" w:hAnsi="Book Antiqua"/>
          <w:sz w:val="26"/>
          <w:szCs w:val="26"/>
        </w:rPr>
        <w:t xml:space="preserve"> the tenant </w:t>
      </w:r>
      <w:r w:rsidR="004C599B">
        <w:rPr>
          <w:rFonts w:ascii="Book Antiqua" w:hAnsi="Book Antiqua"/>
          <w:sz w:val="26"/>
          <w:szCs w:val="26"/>
        </w:rPr>
        <w:t xml:space="preserve">may </w:t>
      </w:r>
      <w:r w:rsidRPr="00237F8C">
        <w:rPr>
          <w:rFonts w:ascii="Book Antiqua" w:hAnsi="Book Antiqua"/>
          <w:sz w:val="26"/>
          <w:szCs w:val="26"/>
        </w:rPr>
        <w:t xml:space="preserve">pursue injunctive relief to recover possession or address any other landlord violations, and the tenant </w:t>
      </w:r>
      <w:r w:rsidR="004C599B">
        <w:rPr>
          <w:rFonts w:ascii="Book Antiqua" w:hAnsi="Book Antiqua"/>
          <w:sz w:val="26"/>
          <w:szCs w:val="26"/>
        </w:rPr>
        <w:t xml:space="preserve">will have a </w:t>
      </w:r>
      <w:r w:rsidRPr="00237F8C">
        <w:rPr>
          <w:rFonts w:ascii="Book Antiqua" w:hAnsi="Book Antiqua"/>
          <w:sz w:val="26"/>
          <w:szCs w:val="26"/>
        </w:rPr>
        <w:t xml:space="preserve">defense in </w:t>
      </w:r>
      <w:r w:rsidR="004C599B">
        <w:rPr>
          <w:rFonts w:ascii="Book Antiqua" w:hAnsi="Book Antiqua"/>
          <w:sz w:val="26"/>
          <w:szCs w:val="26"/>
        </w:rPr>
        <w:t xml:space="preserve">the </w:t>
      </w:r>
      <w:r w:rsidRPr="00237F8C">
        <w:rPr>
          <w:rFonts w:ascii="Book Antiqua" w:hAnsi="Book Antiqua"/>
          <w:sz w:val="26"/>
          <w:szCs w:val="26"/>
        </w:rPr>
        <w:t>action for possession</w:t>
      </w:r>
      <w:r w:rsidR="004C599B">
        <w:rPr>
          <w:rFonts w:ascii="Book Antiqua" w:hAnsi="Book Antiqua"/>
          <w:sz w:val="26"/>
          <w:szCs w:val="26"/>
        </w:rPr>
        <w:t xml:space="preserve"> (i.e., the FED)</w:t>
      </w:r>
      <w:r w:rsidRPr="00237F8C">
        <w:rPr>
          <w:rFonts w:ascii="Book Antiqua" w:hAnsi="Book Antiqua"/>
          <w:sz w:val="26"/>
          <w:szCs w:val="26"/>
        </w:rPr>
        <w:t xml:space="preserve">. </w:t>
      </w:r>
    </w:p>
    <w:p w14:paraId="21639A41" w14:textId="77777777" w:rsidR="00237F8C" w:rsidRPr="00237F8C" w:rsidRDefault="00237F8C" w:rsidP="00237F8C">
      <w:pPr>
        <w:spacing w:line="360" w:lineRule="exact"/>
        <w:jc w:val="both"/>
        <w:rPr>
          <w:rFonts w:ascii="Book Antiqua" w:hAnsi="Book Antiqua"/>
          <w:sz w:val="26"/>
          <w:szCs w:val="26"/>
        </w:rPr>
      </w:pPr>
    </w:p>
    <w:p w14:paraId="05217EAB" w14:textId="65FFEE31" w:rsidR="00237F8C" w:rsidRDefault="00237F8C" w:rsidP="00237F8C">
      <w:pPr>
        <w:spacing w:line="360" w:lineRule="exact"/>
        <w:jc w:val="both"/>
        <w:rPr>
          <w:rFonts w:ascii="Book Antiqua" w:hAnsi="Book Antiqua"/>
          <w:sz w:val="26"/>
          <w:szCs w:val="26"/>
        </w:rPr>
      </w:pPr>
      <w:r w:rsidRPr="003A1A47">
        <w:rPr>
          <w:rFonts w:ascii="Book Antiqua" w:hAnsi="Book Antiqua"/>
          <w:b/>
          <w:bCs/>
          <w:i/>
          <w:iCs/>
          <w:sz w:val="26"/>
          <w:szCs w:val="26"/>
        </w:rPr>
        <w:t xml:space="preserve">Tenant Not Entitled to Costs, Attorney Fees, or Prevailing Party Fees. </w:t>
      </w:r>
      <w:r w:rsidRPr="00237F8C">
        <w:rPr>
          <w:rFonts w:ascii="Book Antiqua" w:hAnsi="Book Antiqua"/>
          <w:sz w:val="26"/>
          <w:szCs w:val="26"/>
        </w:rPr>
        <w:t>Actions dismissed under these rules will not result in a tenant recovering costs and fees if:</w:t>
      </w:r>
    </w:p>
    <w:p w14:paraId="2661CCE2" w14:textId="77777777" w:rsidR="003A1A47" w:rsidRPr="00237F8C" w:rsidRDefault="003A1A47" w:rsidP="00237F8C">
      <w:pPr>
        <w:spacing w:line="360" w:lineRule="exact"/>
        <w:jc w:val="both"/>
        <w:rPr>
          <w:rFonts w:ascii="Book Antiqua" w:hAnsi="Book Antiqua"/>
          <w:sz w:val="26"/>
          <w:szCs w:val="26"/>
        </w:rPr>
      </w:pPr>
    </w:p>
    <w:p w14:paraId="71050B6F" w14:textId="6F54D44C" w:rsidR="00237F8C" w:rsidRPr="003A1A47" w:rsidRDefault="00237F8C" w:rsidP="003A1A47">
      <w:pPr>
        <w:pStyle w:val="ListParagraph"/>
        <w:numPr>
          <w:ilvl w:val="0"/>
          <w:numId w:val="19"/>
        </w:numPr>
        <w:spacing w:line="360" w:lineRule="exact"/>
        <w:jc w:val="both"/>
        <w:rPr>
          <w:sz w:val="26"/>
          <w:szCs w:val="26"/>
        </w:rPr>
      </w:pPr>
      <w:r w:rsidRPr="003A1A47">
        <w:rPr>
          <w:sz w:val="26"/>
          <w:szCs w:val="26"/>
        </w:rPr>
        <w:t xml:space="preserve">The landlord delivered all required notices (i.e., the </w:t>
      </w:r>
      <w:r w:rsidR="003A1A47">
        <w:rPr>
          <w:sz w:val="26"/>
          <w:szCs w:val="26"/>
        </w:rPr>
        <w:t>u</w:t>
      </w:r>
      <w:r w:rsidRPr="003A1A47">
        <w:rPr>
          <w:sz w:val="26"/>
          <w:szCs w:val="26"/>
        </w:rPr>
        <w:t>pdated Eviction Protection Notice)</w:t>
      </w:r>
    </w:p>
    <w:p w14:paraId="69948CB2" w14:textId="48F91E86" w:rsidR="00237F8C" w:rsidRPr="003A1A47" w:rsidRDefault="00237F8C" w:rsidP="003A1A47">
      <w:pPr>
        <w:pStyle w:val="ListParagraph"/>
        <w:numPr>
          <w:ilvl w:val="0"/>
          <w:numId w:val="19"/>
        </w:numPr>
        <w:spacing w:line="360" w:lineRule="exact"/>
        <w:jc w:val="both"/>
        <w:rPr>
          <w:sz w:val="26"/>
          <w:szCs w:val="26"/>
        </w:rPr>
      </w:pPr>
      <w:r w:rsidRPr="003A1A47">
        <w:rPr>
          <w:sz w:val="26"/>
          <w:szCs w:val="26"/>
        </w:rPr>
        <w:t>The landlord did not know, or have reason to know</w:t>
      </w:r>
      <w:r w:rsidR="003A1A47">
        <w:rPr>
          <w:sz w:val="26"/>
          <w:szCs w:val="26"/>
        </w:rPr>
        <w:t>,</w:t>
      </w:r>
      <w:r w:rsidRPr="003A1A47">
        <w:rPr>
          <w:sz w:val="26"/>
          <w:szCs w:val="26"/>
        </w:rPr>
        <w:t xml:space="preserve"> at the time of commencing the </w:t>
      </w:r>
      <w:r w:rsidR="003A1A47">
        <w:rPr>
          <w:sz w:val="26"/>
          <w:szCs w:val="26"/>
        </w:rPr>
        <w:t>FED</w:t>
      </w:r>
      <w:r w:rsidRPr="003A1A47">
        <w:rPr>
          <w:sz w:val="26"/>
          <w:szCs w:val="26"/>
        </w:rPr>
        <w:t xml:space="preserve">, that the  tenant had already provided the required Documentation; and  </w:t>
      </w:r>
    </w:p>
    <w:p w14:paraId="02E66DBF" w14:textId="7E753593" w:rsidR="00237F8C" w:rsidRPr="003A1A47" w:rsidRDefault="00237F8C" w:rsidP="003A1A47">
      <w:pPr>
        <w:pStyle w:val="ListParagraph"/>
        <w:numPr>
          <w:ilvl w:val="0"/>
          <w:numId w:val="19"/>
        </w:numPr>
        <w:spacing w:line="360" w:lineRule="exact"/>
        <w:jc w:val="both"/>
        <w:rPr>
          <w:sz w:val="26"/>
          <w:szCs w:val="26"/>
        </w:rPr>
      </w:pPr>
      <w:r w:rsidRPr="003A1A47">
        <w:rPr>
          <w:sz w:val="26"/>
          <w:szCs w:val="26"/>
        </w:rPr>
        <w:lastRenderedPageBreak/>
        <w:t xml:space="preserve">The landlord promptly dismissed the action upon becoming aware of the Documentation (Note: All three </w:t>
      </w:r>
      <w:r w:rsidR="003A1A47">
        <w:rPr>
          <w:sz w:val="26"/>
          <w:szCs w:val="26"/>
        </w:rPr>
        <w:t xml:space="preserve">events </w:t>
      </w:r>
      <w:r w:rsidRPr="003A1A47">
        <w:rPr>
          <w:sz w:val="26"/>
          <w:szCs w:val="26"/>
        </w:rPr>
        <w:t>must occur.)</w:t>
      </w:r>
    </w:p>
    <w:p w14:paraId="5D0CED23" w14:textId="2C420811" w:rsidR="00237F8C" w:rsidRPr="00237F8C" w:rsidRDefault="00237F8C" w:rsidP="00237F8C">
      <w:pPr>
        <w:spacing w:line="360" w:lineRule="exact"/>
        <w:jc w:val="both"/>
        <w:rPr>
          <w:rFonts w:ascii="Book Antiqua" w:hAnsi="Book Antiqua"/>
          <w:sz w:val="26"/>
          <w:szCs w:val="26"/>
        </w:rPr>
      </w:pPr>
    </w:p>
    <w:p w14:paraId="3E5D4AA9" w14:textId="3F1AB61A" w:rsidR="00237F8C" w:rsidRDefault="00237F8C" w:rsidP="00237F8C">
      <w:pPr>
        <w:spacing w:line="360" w:lineRule="exact"/>
        <w:jc w:val="both"/>
        <w:rPr>
          <w:rFonts w:ascii="Book Antiqua" w:hAnsi="Book Antiqua"/>
          <w:sz w:val="26"/>
          <w:szCs w:val="26"/>
        </w:rPr>
      </w:pPr>
      <w:r w:rsidRPr="003A1A47">
        <w:rPr>
          <w:rFonts w:ascii="Book Antiqua" w:hAnsi="Book Antiqua"/>
          <w:b/>
          <w:bCs/>
          <w:i/>
          <w:iCs/>
          <w:sz w:val="26"/>
          <w:szCs w:val="26"/>
        </w:rPr>
        <w:t>Status of Tenant’s Application for Emergency Rental Assistance</w:t>
      </w:r>
      <w:r w:rsidR="00A057F5">
        <w:rPr>
          <w:rFonts w:ascii="Book Antiqua" w:hAnsi="Book Antiqua"/>
          <w:b/>
          <w:bCs/>
          <w:i/>
          <w:iCs/>
          <w:sz w:val="26"/>
          <w:szCs w:val="26"/>
        </w:rPr>
        <w:t xml:space="preserve">. </w:t>
      </w:r>
      <w:r w:rsidRPr="00237F8C">
        <w:rPr>
          <w:rFonts w:ascii="Book Antiqua" w:hAnsi="Book Antiqua"/>
          <w:sz w:val="26"/>
          <w:szCs w:val="26"/>
        </w:rPr>
        <w:t xml:space="preserve">SB 891 directs </w:t>
      </w:r>
      <w:r w:rsidR="003A1A47">
        <w:rPr>
          <w:rFonts w:ascii="Book Antiqua" w:hAnsi="Book Antiqua"/>
          <w:sz w:val="26"/>
          <w:szCs w:val="26"/>
        </w:rPr>
        <w:t xml:space="preserve">the </w:t>
      </w:r>
      <w:r w:rsidRPr="00237F8C">
        <w:rPr>
          <w:rFonts w:ascii="Book Antiqua" w:hAnsi="Book Antiqua"/>
          <w:sz w:val="26"/>
          <w:szCs w:val="26"/>
        </w:rPr>
        <w:t xml:space="preserve">Oregon Housing and Community Services (OHCS) to prioritize the processing of applications made on or before December 1, 2021, </w:t>
      </w:r>
      <w:r w:rsidR="003A1A47">
        <w:rPr>
          <w:rFonts w:ascii="Book Antiqua" w:hAnsi="Book Antiqua"/>
          <w:sz w:val="26"/>
          <w:szCs w:val="26"/>
        </w:rPr>
        <w:t xml:space="preserve">which is </w:t>
      </w:r>
      <w:r w:rsidRPr="00237F8C">
        <w:rPr>
          <w:rFonts w:ascii="Book Antiqua" w:hAnsi="Book Antiqua"/>
          <w:sz w:val="26"/>
          <w:szCs w:val="26"/>
        </w:rPr>
        <w:t xml:space="preserve">the beginning of the six-week </w:t>
      </w:r>
      <w:r w:rsidR="003A1A47">
        <w:rPr>
          <w:rFonts w:ascii="Book Antiqua" w:hAnsi="Book Antiqua"/>
          <w:sz w:val="26"/>
          <w:szCs w:val="26"/>
        </w:rPr>
        <w:t>“</w:t>
      </w:r>
      <w:r w:rsidRPr="00237F8C">
        <w:rPr>
          <w:rFonts w:ascii="Book Antiqua" w:hAnsi="Book Antiqua"/>
          <w:sz w:val="26"/>
          <w:szCs w:val="26"/>
        </w:rPr>
        <w:t>pause</w:t>
      </w:r>
      <w:r w:rsidR="003A1A47">
        <w:rPr>
          <w:rFonts w:ascii="Book Antiqua" w:hAnsi="Book Antiqua"/>
          <w:sz w:val="26"/>
          <w:szCs w:val="26"/>
        </w:rPr>
        <w:t>”</w:t>
      </w:r>
      <w:r w:rsidRPr="00237F8C">
        <w:rPr>
          <w:rFonts w:ascii="Book Antiqua" w:hAnsi="Book Antiqua"/>
          <w:sz w:val="26"/>
          <w:szCs w:val="26"/>
        </w:rPr>
        <w:t xml:space="preserve">. Applications received after that date will be evaluated in </w:t>
      </w:r>
      <w:r w:rsidR="003A1A47">
        <w:rPr>
          <w:rFonts w:ascii="Book Antiqua" w:hAnsi="Book Antiqua"/>
          <w:sz w:val="26"/>
          <w:szCs w:val="26"/>
        </w:rPr>
        <w:t xml:space="preserve">the ordinary </w:t>
      </w:r>
      <w:r w:rsidRPr="00237F8C">
        <w:rPr>
          <w:rFonts w:ascii="Book Antiqua" w:hAnsi="Book Antiqua"/>
          <w:sz w:val="26"/>
          <w:szCs w:val="26"/>
        </w:rPr>
        <w:t>course.</w:t>
      </w:r>
    </w:p>
    <w:p w14:paraId="6E6F26C7" w14:textId="77777777" w:rsidR="00E25B33" w:rsidRPr="00237F8C" w:rsidRDefault="00E25B33" w:rsidP="00237F8C">
      <w:pPr>
        <w:spacing w:line="360" w:lineRule="exact"/>
        <w:jc w:val="both"/>
        <w:rPr>
          <w:rFonts w:ascii="Book Antiqua" w:hAnsi="Book Antiqua"/>
          <w:sz w:val="26"/>
          <w:szCs w:val="26"/>
        </w:rPr>
      </w:pPr>
    </w:p>
    <w:p w14:paraId="300D3C43" w14:textId="38F35A11" w:rsidR="00237F8C" w:rsidRDefault="00237F8C" w:rsidP="00237F8C">
      <w:pPr>
        <w:spacing w:line="360" w:lineRule="exact"/>
        <w:jc w:val="both"/>
        <w:rPr>
          <w:rFonts w:ascii="Book Antiqua" w:hAnsi="Book Antiqua"/>
          <w:sz w:val="26"/>
          <w:szCs w:val="26"/>
        </w:rPr>
      </w:pPr>
      <w:r w:rsidRPr="00237F8C">
        <w:rPr>
          <w:rFonts w:ascii="Book Antiqua" w:hAnsi="Book Antiqua"/>
          <w:sz w:val="26"/>
          <w:szCs w:val="26"/>
        </w:rPr>
        <w:t xml:space="preserve">In addition to providing a dated receipt </w:t>
      </w:r>
      <w:r w:rsidR="009A304C">
        <w:rPr>
          <w:rFonts w:ascii="Book Antiqua" w:hAnsi="Book Antiqua"/>
          <w:sz w:val="26"/>
          <w:szCs w:val="26"/>
        </w:rPr>
        <w:t xml:space="preserve">when </w:t>
      </w:r>
      <w:r w:rsidRPr="00237F8C">
        <w:rPr>
          <w:rFonts w:ascii="Book Antiqua" w:hAnsi="Book Antiqua"/>
          <w:sz w:val="26"/>
          <w:szCs w:val="26"/>
        </w:rPr>
        <w:t>the tenant applie</w:t>
      </w:r>
      <w:r w:rsidR="009A304C">
        <w:rPr>
          <w:rFonts w:ascii="Book Antiqua" w:hAnsi="Book Antiqua"/>
          <w:sz w:val="26"/>
          <w:szCs w:val="26"/>
        </w:rPr>
        <w:t>s</w:t>
      </w:r>
      <w:r w:rsidRPr="00237F8C">
        <w:rPr>
          <w:rFonts w:ascii="Book Antiqua" w:hAnsi="Book Antiqua"/>
          <w:sz w:val="26"/>
          <w:szCs w:val="26"/>
        </w:rPr>
        <w:t xml:space="preserve"> for emergency assistance, </w:t>
      </w:r>
      <w:r w:rsidR="009A304C">
        <w:rPr>
          <w:rFonts w:ascii="Book Antiqua" w:hAnsi="Book Antiqua"/>
          <w:sz w:val="26"/>
          <w:szCs w:val="26"/>
        </w:rPr>
        <w:t xml:space="preserve">the </w:t>
      </w:r>
      <w:r w:rsidRPr="00237F8C">
        <w:rPr>
          <w:rFonts w:ascii="Book Antiqua" w:hAnsi="Book Antiqua"/>
          <w:sz w:val="26"/>
          <w:szCs w:val="26"/>
        </w:rPr>
        <w:t>OHCS must also</w:t>
      </w:r>
      <w:r w:rsidR="009A304C">
        <w:rPr>
          <w:rFonts w:ascii="Book Antiqua" w:hAnsi="Book Antiqua"/>
          <w:sz w:val="26"/>
          <w:szCs w:val="26"/>
        </w:rPr>
        <w:t xml:space="preserve"> now:</w:t>
      </w:r>
    </w:p>
    <w:p w14:paraId="6AD30714" w14:textId="77777777" w:rsidR="00497240" w:rsidRPr="00237F8C" w:rsidRDefault="00497240" w:rsidP="00237F8C">
      <w:pPr>
        <w:spacing w:line="360" w:lineRule="exact"/>
        <w:jc w:val="both"/>
        <w:rPr>
          <w:rFonts w:ascii="Book Antiqua" w:hAnsi="Book Antiqua"/>
          <w:sz w:val="26"/>
          <w:szCs w:val="26"/>
        </w:rPr>
      </w:pPr>
    </w:p>
    <w:p w14:paraId="06CDA9BD" w14:textId="77777777" w:rsidR="00237F8C" w:rsidRPr="00986CBB" w:rsidRDefault="00237F8C" w:rsidP="00497240">
      <w:pPr>
        <w:pStyle w:val="ListParagraph"/>
        <w:numPr>
          <w:ilvl w:val="0"/>
          <w:numId w:val="20"/>
        </w:numPr>
        <w:spacing w:line="360" w:lineRule="exact"/>
        <w:contextualSpacing/>
        <w:jc w:val="both"/>
        <w:rPr>
          <w:sz w:val="26"/>
          <w:szCs w:val="26"/>
        </w:rPr>
      </w:pPr>
      <w:r w:rsidRPr="00497240">
        <w:rPr>
          <w:sz w:val="26"/>
          <w:szCs w:val="26"/>
        </w:rPr>
        <w:t>Close an application, after notice to the tenant, if OHCS determines the tenant is no longer pa</w:t>
      </w:r>
      <w:r w:rsidRPr="00986CBB">
        <w:rPr>
          <w:sz w:val="26"/>
          <w:szCs w:val="26"/>
        </w:rPr>
        <w:t>rticipating in the application process</w:t>
      </w:r>
    </w:p>
    <w:p w14:paraId="1AF57182" w14:textId="77777777" w:rsidR="00237F8C" w:rsidRPr="00986CBB" w:rsidRDefault="00237F8C" w:rsidP="00497240">
      <w:pPr>
        <w:pStyle w:val="ListParagraph"/>
        <w:numPr>
          <w:ilvl w:val="0"/>
          <w:numId w:val="20"/>
        </w:numPr>
        <w:spacing w:line="360" w:lineRule="exact"/>
        <w:contextualSpacing/>
        <w:jc w:val="both"/>
        <w:rPr>
          <w:sz w:val="26"/>
          <w:szCs w:val="26"/>
        </w:rPr>
      </w:pPr>
      <w:r w:rsidRPr="00986CBB">
        <w:rPr>
          <w:sz w:val="26"/>
          <w:szCs w:val="26"/>
        </w:rPr>
        <w:t>Send tenant’s landlord a dated notice of payment, by mail or email, if payment is made to someone other than the landlord directly.</w:t>
      </w:r>
    </w:p>
    <w:p w14:paraId="55104465" w14:textId="0E8F9D7A" w:rsidR="00237F8C" w:rsidRPr="00986CBB" w:rsidRDefault="00237F8C" w:rsidP="00497240">
      <w:pPr>
        <w:pStyle w:val="ListParagraph"/>
        <w:numPr>
          <w:ilvl w:val="0"/>
          <w:numId w:val="20"/>
        </w:numPr>
        <w:spacing w:line="360" w:lineRule="exact"/>
        <w:contextualSpacing/>
        <w:jc w:val="both"/>
        <w:rPr>
          <w:sz w:val="26"/>
          <w:szCs w:val="26"/>
        </w:rPr>
      </w:pPr>
      <w:r w:rsidRPr="00986CBB">
        <w:rPr>
          <w:sz w:val="26"/>
          <w:szCs w:val="26"/>
        </w:rPr>
        <w:t xml:space="preserve">Provide both tenant and landlord, by mail or email, a dated notice of denial or a dated notice of closure </w:t>
      </w:r>
      <w:r w:rsidR="004238B2" w:rsidRPr="00986CBB">
        <w:rPr>
          <w:sz w:val="26"/>
          <w:szCs w:val="26"/>
        </w:rPr>
        <w:t>(</w:t>
      </w:r>
      <w:r w:rsidRPr="00986CBB">
        <w:rPr>
          <w:sz w:val="26"/>
          <w:szCs w:val="26"/>
        </w:rPr>
        <w:t>if the application is closed without payment</w:t>
      </w:r>
      <w:r w:rsidR="004238B2" w:rsidRPr="00986CBB">
        <w:rPr>
          <w:sz w:val="26"/>
          <w:szCs w:val="26"/>
        </w:rPr>
        <w:t>)</w:t>
      </w:r>
      <w:r w:rsidRPr="00986CBB">
        <w:rPr>
          <w:sz w:val="26"/>
          <w:szCs w:val="26"/>
        </w:rPr>
        <w:t>.</w:t>
      </w:r>
    </w:p>
    <w:p w14:paraId="7343F8D9" w14:textId="77777777" w:rsidR="00E25B33" w:rsidRPr="00986CBB" w:rsidRDefault="00E25B33" w:rsidP="00237F8C">
      <w:pPr>
        <w:spacing w:line="360" w:lineRule="exact"/>
        <w:jc w:val="both"/>
        <w:rPr>
          <w:rFonts w:ascii="Book Antiqua" w:hAnsi="Book Antiqua"/>
          <w:sz w:val="26"/>
          <w:szCs w:val="26"/>
        </w:rPr>
      </w:pPr>
    </w:p>
    <w:p w14:paraId="0E6CD1A0" w14:textId="3AC27110" w:rsidR="00237F8C" w:rsidRPr="00986CBB" w:rsidRDefault="00E25B33" w:rsidP="00986CBB">
      <w:pPr>
        <w:spacing w:line="360" w:lineRule="exact"/>
        <w:jc w:val="both"/>
        <w:rPr>
          <w:rFonts w:ascii="Book Antiqua" w:hAnsi="Book Antiqua"/>
          <w:sz w:val="26"/>
          <w:szCs w:val="26"/>
        </w:rPr>
      </w:pPr>
      <w:r w:rsidRPr="00986CBB">
        <w:rPr>
          <w:rFonts w:ascii="Book Antiqua" w:hAnsi="Book Antiqua"/>
          <w:b/>
          <w:bCs/>
          <w:i/>
          <w:iCs/>
          <w:sz w:val="26"/>
          <w:szCs w:val="26"/>
        </w:rPr>
        <w:t>Miscellaneous</w:t>
      </w:r>
      <w:r w:rsidRPr="00986CBB">
        <w:rPr>
          <w:rFonts w:ascii="Book Antiqua" w:hAnsi="Book Antiqua"/>
          <w:sz w:val="26"/>
          <w:szCs w:val="26"/>
        </w:rPr>
        <w:t xml:space="preserve">. </w:t>
      </w:r>
      <w:r w:rsidR="00237F8C" w:rsidRPr="00986CBB">
        <w:rPr>
          <w:rFonts w:ascii="Book Antiqua" w:hAnsi="Book Antiqua"/>
          <w:sz w:val="26"/>
          <w:szCs w:val="26"/>
        </w:rPr>
        <w:t xml:space="preserve">The 10 and 13-day notices for termination under </w:t>
      </w:r>
      <w:r w:rsidR="00003D67" w:rsidRPr="00986CBB">
        <w:rPr>
          <w:rFonts w:ascii="Book Antiqua" w:hAnsi="Book Antiqua"/>
          <w:sz w:val="26"/>
          <w:szCs w:val="26"/>
        </w:rPr>
        <w:t xml:space="preserve">ORS </w:t>
      </w:r>
      <w:r w:rsidR="00237F8C" w:rsidRPr="00986CBB">
        <w:rPr>
          <w:rFonts w:ascii="Book Antiqua" w:hAnsi="Book Antiqua"/>
          <w:sz w:val="26"/>
          <w:szCs w:val="26"/>
        </w:rPr>
        <w:t xml:space="preserve">90.394 </w:t>
      </w:r>
      <w:r w:rsidR="00003D67" w:rsidRPr="00986CBB">
        <w:rPr>
          <w:rFonts w:ascii="Book Antiqua" w:hAnsi="Book Antiqua"/>
          <w:sz w:val="26"/>
          <w:szCs w:val="26"/>
        </w:rPr>
        <w:t xml:space="preserve">will revert </w:t>
      </w:r>
      <w:r w:rsidR="00237F8C" w:rsidRPr="00986CBB">
        <w:rPr>
          <w:rFonts w:ascii="Book Antiqua" w:hAnsi="Book Antiqua"/>
          <w:sz w:val="26"/>
          <w:szCs w:val="26"/>
        </w:rPr>
        <w:t>back to 72</w:t>
      </w:r>
      <w:r w:rsidR="00003D67" w:rsidRPr="00986CBB">
        <w:rPr>
          <w:rFonts w:ascii="Book Antiqua" w:hAnsi="Book Antiqua"/>
          <w:sz w:val="26"/>
          <w:szCs w:val="26"/>
        </w:rPr>
        <w:t>-</w:t>
      </w:r>
      <w:r w:rsidR="00237F8C" w:rsidRPr="00986CBB">
        <w:rPr>
          <w:rFonts w:ascii="Book Antiqua" w:hAnsi="Book Antiqua"/>
          <w:sz w:val="26"/>
          <w:szCs w:val="26"/>
        </w:rPr>
        <w:t xml:space="preserve"> and 144-hour notices, respectively, on October 1, 2022</w:t>
      </w:r>
      <w:r w:rsidR="00003D67" w:rsidRPr="00986CBB">
        <w:rPr>
          <w:rFonts w:ascii="Book Antiqua" w:hAnsi="Book Antiqua"/>
          <w:sz w:val="26"/>
          <w:szCs w:val="26"/>
        </w:rPr>
        <w:t>;</w:t>
      </w:r>
    </w:p>
    <w:sectPr w:rsidR="00237F8C" w:rsidRPr="00986CBB" w:rsidSect="00786074">
      <w:headerReference w:type="default" r:id="rId8"/>
      <w:footerReference w:type="default" r:id="rId9"/>
      <w:headerReference w:type="first" r:id="rId10"/>
      <w:footerReference w:type="first" r:id="rId11"/>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C4BE3" w14:textId="77777777" w:rsidR="00B67F33" w:rsidRDefault="00B67F33" w:rsidP="002A560A">
      <w:r>
        <w:separator/>
      </w:r>
    </w:p>
  </w:endnote>
  <w:endnote w:type="continuationSeparator" w:id="0">
    <w:p w14:paraId="1989EAB7" w14:textId="77777777" w:rsidR="00B67F33" w:rsidRDefault="00B67F33" w:rsidP="002A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_.q‘˛">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836882"/>
      <w:docPartObj>
        <w:docPartGallery w:val="Page Numbers (Bottom of Page)"/>
        <w:docPartUnique/>
      </w:docPartObj>
    </w:sdtPr>
    <w:sdtEndPr>
      <w:rPr>
        <w:rFonts w:ascii="Book Antiqua" w:hAnsi="Book Antiqua"/>
        <w:smallCaps/>
        <w:noProof/>
        <w:sz w:val="28"/>
        <w:szCs w:val="28"/>
      </w:rPr>
    </w:sdtEndPr>
    <w:sdtContent>
      <w:p w14:paraId="2DE354FF" w14:textId="1610BE67" w:rsidR="00382811" w:rsidRPr="00382811" w:rsidRDefault="00382811">
        <w:pPr>
          <w:pStyle w:val="Footer"/>
          <w:rPr>
            <w:rFonts w:ascii="Book Antiqua" w:hAnsi="Book Antiqua"/>
            <w:smallCaps/>
            <w:sz w:val="28"/>
            <w:szCs w:val="28"/>
          </w:rPr>
        </w:pPr>
        <w:r w:rsidRPr="00382811">
          <w:rPr>
            <w:rFonts w:ascii="Book Antiqua" w:hAnsi="Book Antiqua"/>
            <w:smallCaps/>
            <w:sz w:val="28"/>
            <w:szCs w:val="28"/>
          </w:rPr>
          <w:t xml:space="preserve">Page </w:t>
        </w:r>
        <w:r w:rsidRPr="00382811">
          <w:rPr>
            <w:rFonts w:ascii="Book Antiqua" w:hAnsi="Book Antiqua"/>
            <w:smallCaps/>
            <w:sz w:val="28"/>
            <w:szCs w:val="28"/>
          </w:rPr>
          <w:fldChar w:fldCharType="begin"/>
        </w:r>
        <w:r w:rsidRPr="00382811">
          <w:rPr>
            <w:rFonts w:ascii="Book Antiqua" w:hAnsi="Book Antiqua"/>
            <w:smallCaps/>
            <w:sz w:val="28"/>
            <w:szCs w:val="28"/>
          </w:rPr>
          <w:instrText xml:space="preserve"> PAGE   \* MERGEFORMAT </w:instrText>
        </w:r>
        <w:r w:rsidRPr="00382811">
          <w:rPr>
            <w:rFonts w:ascii="Book Antiqua" w:hAnsi="Book Antiqua"/>
            <w:smallCaps/>
            <w:sz w:val="28"/>
            <w:szCs w:val="28"/>
          </w:rPr>
          <w:fldChar w:fldCharType="separate"/>
        </w:r>
        <w:r w:rsidRPr="00382811">
          <w:rPr>
            <w:rFonts w:ascii="Book Antiqua" w:hAnsi="Book Antiqua"/>
            <w:smallCaps/>
            <w:noProof/>
            <w:sz w:val="28"/>
            <w:szCs w:val="28"/>
          </w:rPr>
          <w:t>2</w:t>
        </w:r>
        <w:r w:rsidRPr="00382811">
          <w:rPr>
            <w:rFonts w:ascii="Book Antiqua" w:hAnsi="Book Antiqua"/>
            <w:smallCaps/>
            <w:noProof/>
            <w:sz w:val="28"/>
            <w:szCs w:val="28"/>
          </w:rPr>
          <w:fldChar w:fldCharType="end"/>
        </w:r>
      </w:p>
    </w:sdtContent>
  </w:sdt>
  <w:p w14:paraId="22650BEB" w14:textId="15E48E95" w:rsidR="002A560A" w:rsidRPr="00DC0390" w:rsidRDefault="002A560A" w:rsidP="00B278B0">
    <w:pPr>
      <w:spacing w:before="18"/>
      <w:rPr>
        <w:rFonts w:ascii="Times New Roman"/>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FF5F" w14:textId="77777777" w:rsidR="00597A72" w:rsidRDefault="00597A72"/>
  <w:tbl>
    <w:tblPr>
      <w:tblStyle w:val="TableGrid"/>
      <w:tblW w:w="7060" w:type="dxa"/>
      <w:tblInd w:w="2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2160"/>
      <w:gridCol w:w="1620"/>
      <w:gridCol w:w="1683"/>
    </w:tblGrid>
    <w:tr w:rsidR="00597A72" w:rsidRPr="00DC0390" w14:paraId="58CADD64" w14:textId="77777777" w:rsidTr="007C171C">
      <w:trPr>
        <w:trHeight w:val="710"/>
      </w:trPr>
      <w:tc>
        <w:tcPr>
          <w:tcW w:w="1597" w:type="dxa"/>
        </w:tcPr>
        <w:p w14:paraId="0997ACE6" w14:textId="590F5E14" w:rsidR="00597A72" w:rsidRPr="00DC0390" w:rsidRDefault="00597A72" w:rsidP="00597A72">
          <w:pPr>
            <w:spacing w:before="18"/>
            <w:rPr>
              <w:rFonts w:ascii="Times" w:hAnsi="Times" w:cs="Times New Roman"/>
              <w:b/>
              <w:color w:val="008CE8"/>
              <w:w w:val="90"/>
              <w:sz w:val="15"/>
            </w:rPr>
          </w:pPr>
          <w:r w:rsidRPr="00DC0390">
            <w:rPr>
              <w:rFonts w:ascii="Times" w:hAnsi="Times" w:cs="Times New Roman"/>
              <w:b/>
              <w:color w:val="008CE8"/>
              <w:w w:val="90"/>
              <w:sz w:val="15"/>
            </w:rPr>
            <w:t>Portland Office:</w:t>
          </w:r>
        </w:p>
        <w:p w14:paraId="1AD09C2B" w14:textId="77777777" w:rsidR="00597A72" w:rsidRPr="006C6ECB" w:rsidRDefault="00597A72" w:rsidP="00597A72">
          <w:pPr>
            <w:spacing w:before="18"/>
            <w:rPr>
              <w:rFonts w:ascii="Times" w:hAnsi="Times" w:cs="Times New Roman"/>
              <w:b/>
              <w:color w:val="000000" w:themeColor="text1"/>
              <w:w w:val="90"/>
              <w:sz w:val="15"/>
            </w:rPr>
          </w:pPr>
          <w:r w:rsidRPr="006C6ECB">
            <w:rPr>
              <w:rFonts w:ascii="Times" w:hAnsi="Times" w:cs="Times New Roman"/>
              <w:b/>
              <w:color w:val="000000" w:themeColor="text1"/>
              <w:w w:val="90"/>
              <w:sz w:val="15"/>
            </w:rPr>
            <w:t xml:space="preserve">150 SW Harrison St. </w:t>
          </w:r>
        </w:p>
        <w:p w14:paraId="5003E254" w14:textId="77777777" w:rsidR="00597A72" w:rsidRPr="006C6ECB" w:rsidRDefault="00597A72" w:rsidP="00597A72">
          <w:pPr>
            <w:spacing w:before="18"/>
            <w:rPr>
              <w:rFonts w:ascii="Times" w:hAnsi="Times" w:cs="Times New Roman"/>
              <w:b/>
              <w:color w:val="000000" w:themeColor="text1"/>
              <w:w w:val="90"/>
              <w:sz w:val="15"/>
            </w:rPr>
          </w:pPr>
          <w:r w:rsidRPr="006C6ECB">
            <w:rPr>
              <w:rFonts w:ascii="Times" w:hAnsi="Times" w:cs="Times New Roman"/>
              <w:b/>
              <w:color w:val="000000" w:themeColor="text1"/>
              <w:w w:val="90"/>
              <w:sz w:val="15"/>
            </w:rPr>
            <w:t xml:space="preserve">Suite 50 </w:t>
          </w:r>
        </w:p>
        <w:p w14:paraId="400EA002" w14:textId="77777777" w:rsidR="00597A72" w:rsidRPr="00DC0390" w:rsidRDefault="00597A72" w:rsidP="00597A72">
          <w:pPr>
            <w:spacing w:before="18"/>
            <w:rPr>
              <w:rFonts w:ascii="Times" w:hAnsi="Times" w:cs="Times New Roman"/>
              <w:bCs/>
              <w:color w:val="0B85E3"/>
              <w:w w:val="90"/>
              <w:sz w:val="15"/>
            </w:rPr>
          </w:pPr>
          <w:r w:rsidRPr="006C6ECB">
            <w:rPr>
              <w:rFonts w:ascii="Times" w:hAnsi="Times" w:cs="Times New Roman"/>
              <w:b/>
              <w:color w:val="000000" w:themeColor="text1"/>
              <w:w w:val="90"/>
              <w:sz w:val="15"/>
            </w:rPr>
            <w:t>Portland, OR 97201</w:t>
          </w:r>
        </w:p>
      </w:tc>
      <w:tc>
        <w:tcPr>
          <w:tcW w:w="2160" w:type="dxa"/>
        </w:tcPr>
        <w:p w14:paraId="0C1D515C" w14:textId="77777777" w:rsidR="00597A72" w:rsidRDefault="00597A72" w:rsidP="00597A72">
          <w:pPr>
            <w:spacing w:before="18"/>
            <w:rPr>
              <w:rFonts w:ascii="Times" w:hAnsi="Times" w:cs="Times New Roman"/>
              <w:bCs/>
              <w:color w:val="000000" w:themeColor="text1"/>
              <w:w w:val="90"/>
              <w:sz w:val="15"/>
            </w:rPr>
          </w:pPr>
          <w:r>
            <w:rPr>
              <w:noProof/>
              <w:color w:val="008CE8"/>
            </w:rPr>
            <mc:AlternateContent>
              <mc:Choice Requires="wps">
                <w:drawing>
                  <wp:anchor distT="0" distB="0" distL="114300" distR="114300" simplePos="0" relativeHeight="251674624" behindDoc="0" locked="0" layoutInCell="1" allowOverlap="1" wp14:anchorId="77898D97" wp14:editId="7309C5D3">
                    <wp:simplePos x="0" y="0"/>
                    <wp:positionH relativeFrom="column">
                      <wp:posOffset>1063821</wp:posOffset>
                    </wp:positionH>
                    <wp:positionV relativeFrom="paragraph">
                      <wp:posOffset>-30954</wp:posOffset>
                    </wp:positionV>
                    <wp:extent cx="0" cy="628650"/>
                    <wp:effectExtent l="0" t="0" r="12700" b="6350"/>
                    <wp:wrapNone/>
                    <wp:docPr id="4" name="Straight Connector 4"/>
                    <wp:cNvGraphicFramePr/>
                    <a:graphic xmlns:a="http://schemas.openxmlformats.org/drawingml/2006/main">
                      <a:graphicData uri="http://schemas.microsoft.com/office/word/2010/wordprocessingShape">
                        <wps:wsp>
                          <wps:cNvCnPr/>
                          <wps:spPr>
                            <a:xfrm>
                              <a:off x="0" y="0"/>
                              <a:ext cx="0" cy="628650"/>
                            </a:xfrm>
                            <a:prstGeom prst="line">
                              <a:avLst/>
                            </a:prstGeom>
                            <a:ln>
                              <a:solidFill>
                                <a:srgbClr val="008CE8"/>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34FD0591" id="Straight Connector 4"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75pt,-2.45pt" to="83.7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" strokecolor="#008ce8" strokeweight="1pt">
                    <v:stroke joinstyle="miter"/>
                  </v:line>
                </w:pict>
              </mc:Fallback>
            </mc:AlternateContent>
          </w:r>
        </w:p>
        <w:p w14:paraId="5BC6E7B9" w14:textId="77777777" w:rsidR="00597A72" w:rsidRPr="006C6ECB" w:rsidRDefault="00597A72" w:rsidP="00597A72">
          <w:pPr>
            <w:spacing w:before="18"/>
            <w:rPr>
              <w:rFonts w:ascii="Times" w:hAnsi="Times" w:cs="Times New Roman"/>
              <w:b/>
              <w:color w:val="000000" w:themeColor="text1"/>
              <w:w w:val="90"/>
              <w:sz w:val="15"/>
            </w:rPr>
          </w:pPr>
          <w:r w:rsidRPr="006C6ECB">
            <w:rPr>
              <w:rFonts w:ascii="Times" w:hAnsi="Times" w:cs="Times New Roman"/>
              <w:b/>
              <w:color w:val="000000" w:themeColor="text1"/>
              <w:w w:val="90"/>
              <w:sz w:val="15"/>
            </w:rPr>
            <w:t xml:space="preserve">503.444.7661 </w:t>
          </w:r>
          <w:r w:rsidRPr="006C6ECB">
            <w:rPr>
              <w:rFonts w:ascii="Times" w:hAnsi="Times" w:cs="Times New Roman"/>
              <w:b/>
              <w:i/>
              <w:iCs/>
              <w:color w:val="000000" w:themeColor="text1"/>
              <w:w w:val="90"/>
              <w:sz w:val="15"/>
            </w:rPr>
            <w:t xml:space="preserve">phone </w:t>
          </w:r>
        </w:p>
        <w:p w14:paraId="78B491F9" w14:textId="77777777" w:rsidR="00597A72" w:rsidRPr="006C6ECB" w:rsidRDefault="00597A72" w:rsidP="00597A72">
          <w:pPr>
            <w:spacing w:before="18"/>
            <w:rPr>
              <w:rFonts w:ascii="Times" w:hAnsi="Times" w:cs="Times New Roman"/>
              <w:b/>
              <w:color w:val="000000" w:themeColor="text1"/>
              <w:w w:val="90"/>
              <w:sz w:val="15"/>
            </w:rPr>
          </w:pPr>
          <w:r w:rsidRPr="006C6ECB">
            <w:rPr>
              <w:rFonts w:ascii="Times" w:hAnsi="Times" w:cs="Times New Roman"/>
              <w:b/>
              <w:color w:val="000000" w:themeColor="text1"/>
              <w:w w:val="90"/>
              <w:sz w:val="15"/>
            </w:rPr>
            <w:t xml:space="preserve">503.961.1862 </w:t>
          </w:r>
          <w:r w:rsidRPr="006C6ECB">
            <w:rPr>
              <w:rFonts w:ascii="Times" w:hAnsi="Times" w:cs="Times New Roman"/>
              <w:b/>
              <w:i/>
              <w:iCs/>
              <w:color w:val="000000" w:themeColor="text1"/>
              <w:w w:val="90"/>
              <w:sz w:val="15"/>
            </w:rPr>
            <w:t>fax</w:t>
          </w:r>
          <w:r w:rsidRPr="006C6ECB">
            <w:rPr>
              <w:rFonts w:ascii="Times" w:hAnsi="Times" w:cs="Times New Roman"/>
              <w:b/>
              <w:color w:val="000000" w:themeColor="text1"/>
              <w:w w:val="90"/>
              <w:sz w:val="15"/>
            </w:rPr>
            <w:t xml:space="preserve"> </w:t>
          </w:r>
        </w:p>
        <w:p w14:paraId="425101A1" w14:textId="1FB4BC7C" w:rsidR="00597A72" w:rsidRPr="00DC0390" w:rsidRDefault="00B67F33" w:rsidP="00597A72">
          <w:pPr>
            <w:spacing w:before="18"/>
            <w:rPr>
              <w:rFonts w:ascii="Times" w:hAnsi="Times" w:cs="Times New Roman"/>
              <w:bCs/>
              <w:color w:val="000000" w:themeColor="text1"/>
              <w:w w:val="90"/>
              <w:sz w:val="15"/>
            </w:rPr>
          </w:pPr>
          <w:hyperlink r:id="rId1" w:history="1">
            <w:r w:rsidR="00597A72" w:rsidRPr="00A57051">
              <w:rPr>
                <w:rStyle w:val="Hyperlink"/>
                <w:rFonts w:ascii="Times" w:hAnsi="Times" w:cs="Times New Roman"/>
                <w:b/>
                <w:color w:val="008CE8"/>
                <w:w w:val="90"/>
                <w:sz w:val="15"/>
                <w:u w:val="none"/>
              </w:rPr>
              <w:t>phil@q-law.com</w:t>
            </w:r>
          </w:hyperlink>
          <w:r w:rsidR="00597A72" w:rsidRPr="00DC0390">
            <w:rPr>
              <w:rFonts w:ascii="Times" w:hAnsi="Times" w:cs="Times New Roman"/>
              <w:bCs/>
              <w:color w:val="008CE8"/>
              <w:w w:val="90"/>
              <w:sz w:val="15"/>
            </w:rPr>
            <w:t xml:space="preserve"> </w:t>
          </w:r>
          <w:r w:rsidR="00597A72" w:rsidRPr="006C6ECB">
            <w:rPr>
              <w:rFonts w:ascii="Times" w:hAnsi="Times" w:cs="Times New Roman"/>
              <w:b/>
              <w:i/>
              <w:iCs/>
              <w:color w:val="000000" w:themeColor="text1"/>
              <w:w w:val="90"/>
              <w:sz w:val="15"/>
            </w:rPr>
            <w:t>email</w:t>
          </w:r>
        </w:p>
      </w:tc>
      <w:tc>
        <w:tcPr>
          <w:tcW w:w="1620" w:type="dxa"/>
        </w:tcPr>
        <w:p w14:paraId="38B86736" w14:textId="77777777" w:rsidR="00597A72" w:rsidRPr="00DC0390" w:rsidRDefault="00597A72" w:rsidP="00597A72">
          <w:pPr>
            <w:spacing w:before="18"/>
            <w:rPr>
              <w:rFonts w:ascii="Times" w:hAnsi="Times" w:cs="Times New Roman"/>
              <w:b/>
              <w:color w:val="008CE8"/>
              <w:w w:val="90"/>
              <w:sz w:val="15"/>
            </w:rPr>
          </w:pPr>
          <w:r w:rsidRPr="00DC0390">
            <w:rPr>
              <w:rFonts w:ascii="Times" w:hAnsi="Times" w:cs="Times New Roman"/>
              <w:b/>
              <w:color w:val="008CE8"/>
              <w:w w:val="90"/>
              <w:sz w:val="15"/>
            </w:rPr>
            <w:t>Bend Office:</w:t>
          </w:r>
        </w:p>
        <w:p w14:paraId="155C67C6" w14:textId="77777777" w:rsidR="00597A72" w:rsidRPr="006C6ECB" w:rsidRDefault="00597A72" w:rsidP="00597A72">
          <w:pPr>
            <w:spacing w:before="18"/>
            <w:rPr>
              <w:rFonts w:ascii="Times" w:hAnsi="Times" w:cs="Times New Roman"/>
              <w:b/>
              <w:color w:val="000000" w:themeColor="text1"/>
              <w:w w:val="90"/>
              <w:sz w:val="15"/>
            </w:rPr>
          </w:pPr>
          <w:r w:rsidRPr="006C6ECB">
            <w:rPr>
              <w:rFonts w:ascii="Times" w:hAnsi="Times" w:cs="Times New Roman"/>
              <w:b/>
              <w:color w:val="000000" w:themeColor="text1"/>
              <w:w w:val="90"/>
              <w:sz w:val="15"/>
            </w:rPr>
            <w:t xml:space="preserve">86 SW Century Drive </w:t>
          </w:r>
        </w:p>
        <w:p w14:paraId="1505D2A7" w14:textId="77777777" w:rsidR="00597A72" w:rsidRPr="006C6ECB" w:rsidRDefault="00597A72" w:rsidP="00597A72">
          <w:pPr>
            <w:spacing w:before="18"/>
            <w:rPr>
              <w:rFonts w:ascii="Times" w:hAnsi="Times" w:cs="Times New Roman"/>
              <w:b/>
              <w:color w:val="000000" w:themeColor="text1"/>
              <w:w w:val="90"/>
              <w:sz w:val="15"/>
            </w:rPr>
          </w:pPr>
          <w:r w:rsidRPr="006C6ECB">
            <w:rPr>
              <w:rFonts w:ascii="Times" w:hAnsi="Times" w:cs="Times New Roman"/>
              <w:b/>
              <w:color w:val="000000" w:themeColor="text1"/>
              <w:w w:val="90"/>
              <w:sz w:val="15"/>
            </w:rPr>
            <w:t xml:space="preserve">Suite 100-509 </w:t>
          </w:r>
        </w:p>
        <w:p w14:paraId="1B6EFB3B" w14:textId="77777777" w:rsidR="00597A72" w:rsidRPr="00DC0390" w:rsidRDefault="00597A72" w:rsidP="00597A72">
          <w:pPr>
            <w:spacing w:before="18"/>
            <w:rPr>
              <w:rFonts w:ascii="Times" w:hAnsi="Times" w:cs="Times New Roman"/>
              <w:bCs/>
              <w:color w:val="0B85E3"/>
              <w:w w:val="90"/>
              <w:sz w:val="15"/>
            </w:rPr>
          </w:pPr>
          <w:r w:rsidRPr="006C6ECB">
            <w:rPr>
              <w:rFonts w:ascii="Times" w:hAnsi="Times" w:cs="Times New Roman"/>
              <w:b/>
              <w:color w:val="000000" w:themeColor="text1"/>
              <w:w w:val="90"/>
              <w:sz w:val="15"/>
            </w:rPr>
            <w:t>Bend, OR 97702</w:t>
          </w:r>
        </w:p>
      </w:tc>
      <w:tc>
        <w:tcPr>
          <w:tcW w:w="1683" w:type="dxa"/>
        </w:tcPr>
        <w:p w14:paraId="0BA8C082" w14:textId="77777777" w:rsidR="00597A72" w:rsidRDefault="00597A72" w:rsidP="00597A72">
          <w:pPr>
            <w:spacing w:before="18"/>
            <w:rPr>
              <w:rFonts w:ascii="Times" w:hAnsi="Times" w:cs="Times New Roman"/>
              <w:bCs/>
              <w:color w:val="000000" w:themeColor="text1"/>
              <w:w w:val="90"/>
              <w:sz w:val="15"/>
            </w:rPr>
          </w:pPr>
        </w:p>
        <w:p w14:paraId="63EDE5EF" w14:textId="77777777" w:rsidR="00597A72" w:rsidRPr="006C6ECB" w:rsidRDefault="00597A72" w:rsidP="00597A72">
          <w:pPr>
            <w:spacing w:before="18"/>
            <w:rPr>
              <w:rFonts w:ascii="Times" w:hAnsi="Times" w:cs="Times New Roman"/>
              <w:b/>
              <w:color w:val="000000" w:themeColor="text1"/>
              <w:w w:val="90"/>
              <w:sz w:val="15"/>
            </w:rPr>
          </w:pPr>
          <w:r w:rsidRPr="006C6ECB">
            <w:rPr>
              <w:rFonts w:ascii="Times" w:hAnsi="Times" w:cs="Times New Roman"/>
              <w:b/>
              <w:color w:val="000000" w:themeColor="text1"/>
              <w:w w:val="90"/>
              <w:sz w:val="15"/>
            </w:rPr>
            <w:t xml:space="preserve">541.330.2288 </w:t>
          </w:r>
          <w:r w:rsidRPr="006C6ECB">
            <w:rPr>
              <w:rFonts w:ascii="Times" w:hAnsi="Times" w:cs="Times New Roman"/>
              <w:b/>
              <w:i/>
              <w:iCs/>
              <w:color w:val="000000" w:themeColor="text1"/>
              <w:w w:val="90"/>
              <w:sz w:val="15"/>
            </w:rPr>
            <w:t xml:space="preserve">phone </w:t>
          </w:r>
        </w:p>
        <w:p w14:paraId="389AF032" w14:textId="77777777" w:rsidR="00597A72" w:rsidRPr="006C6ECB" w:rsidRDefault="00597A72" w:rsidP="00597A72">
          <w:pPr>
            <w:spacing w:before="18"/>
            <w:rPr>
              <w:rFonts w:ascii="Times" w:hAnsi="Times" w:cs="Times New Roman"/>
              <w:b/>
              <w:color w:val="0B85E3"/>
              <w:w w:val="90"/>
              <w:sz w:val="15"/>
            </w:rPr>
          </w:pPr>
          <w:r w:rsidRPr="006C6ECB">
            <w:rPr>
              <w:rFonts w:ascii="Times" w:hAnsi="Times" w:cs="Times New Roman"/>
              <w:b/>
              <w:color w:val="000000" w:themeColor="text1"/>
              <w:w w:val="90"/>
              <w:sz w:val="15"/>
            </w:rPr>
            <w:t xml:space="preserve">503.961.1862 </w:t>
          </w:r>
          <w:r w:rsidRPr="006C6ECB">
            <w:rPr>
              <w:rFonts w:ascii="Times" w:hAnsi="Times" w:cs="Times New Roman"/>
              <w:b/>
              <w:i/>
              <w:iCs/>
              <w:color w:val="000000" w:themeColor="text1"/>
              <w:w w:val="90"/>
              <w:sz w:val="15"/>
            </w:rPr>
            <w:t>fax</w:t>
          </w:r>
          <w:r w:rsidRPr="006C6ECB">
            <w:rPr>
              <w:rFonts w:ascii="Times" w:hAnsi="Times" w:cs="Times New Roman"/>
              <w:b/>
              <w:color w:val="000000" w:themeColor="text1"/>
              <w:w w:val="90"/>
              <w:sz w:val="15"/>
            </w:rPr>
            <w:t xml:space="preserve"> </w:t>
          </w:r>
        </w:p>
        <w:p w14:paraId="2AFD76FF" w14:textId="730680D0" w:rsidR="00597A72" w:rsidRPr="00DC0390" w:rsidRDefault="00B67F33" w:rsidP="00597A72">
          <w:pPr>
            <w:spacing w:before="18"/>
            <w:rPr>
              <w:rFonts w:ascii="Times" w:hAnsi="Times" w:cs="Times New Roman"/>
              <w:bCs/>
              <w:color w:val="0B85E3"/>
              <w:w w:val="90"/>
              <w:sz w:val="15"/>
            </w:rPr>
          </w:pPr>
          <w:hyperlink r:id="rId2" w:history="1">
            <w:r w:rsidR="00597A72" w:rsidRPr="00A57051">
              <w:rPr>
                <w:rStyle w:val="Hyperlink"/>
                <w:rFonts w:ascii="Times" w:hAnsi="Times" w:cs="Times New Roman"/>
                <w:b/>
                <w:color w:val="008CE8"/>
                <w:w w:val="90"/>
                <w:sz w:val="15"/>
                <w:u w:val="none"/>
              </w:rPr>
              <w:t>phil@q-law.com</w:t>
            </w:r>
          </w:hyperlink>
          <w:r w:rsidR="00597A72" w:rsidRPr="00DC0390">
            <w:rPr>
              <w:rFonts w:ascii="Times" w:hAnsi="Times" w:cs="Times New Roman"/>
              <w:bCs/>
              <w:color w:val="0070C0"/>
              <w:w w:val="90"/>
              <w:sz w:val="15"/>
            </w:rPr>
            <w:t xml:space="preserve"> </w:t>
          </w:r>
          <w:r w:rsidR="00597A72" w:rsidRPr="006C6ECB">
            <w:rPr>
              <w:rFonts w:ascii="Times" w:hAnsi="Times" w:cs="Times New Roman"/>
              <w:b/>
              <w:i/>
              <w:iCs/>
              <w:color w:val="000000" w:themeColor="text1"/>
              <w:w w:val="90"/>
              <w:sz w:val="15"/>
            </w:rPr>
            <w:t>email</w:t>
          </w:r>
        </w:p>
      </w:tc>
    </w:tr>
  </w:tbl>
  <w:p w14:paraId="799C2D7A" w14:textId="77777777" w:rsidR="00597A72" w:rsidRPr="00597A72" w:rsidRDefault="00597A72" w:rsidP="00597A72">
    <w:pPr>
      <w:spacing w:before="18"/>
      <w:rPr>
        <w:rFonts w:ascii="Times New Roman"/>
        <w:i/>
        <w:sz w:val="16"/>
        <w:szCs w:val="16"/>
      </w:rPr>
    </w:pPr>
  </w:p>
  <w:p w14:paraId="28EF7EBB" w14:textId="77777777" w:rsidR="00597A72" w:rsidRDefault="00597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EB23" w14:textId="77777777" w:rsidR="00B67F33" w:rsidRDefault="00B67F33" w:rsidP="002A560A">
      <w:r>
        <w:separator/>
      </w:r>
    </w:p>
  </w:footnote>
  <w:footnote w:type="continuationSeparator" w:id="0">
    <w:p w14:paraId="70724AD5" w14:textId="77777777" w:rsidR="00B67F33" w:rsidRDefault="00B67F33" w:rsidP="002A560A">
      <w:r>
        <w:continuationSeparator/>
      </w:r>
    </w:p>
  </w:footnote>
  <w:footnote w:id="1">
    <w:p w14:paraId="6D43B85D" w14:textId="77777777" w:rsidR="00237F8C" w:rsidRDefault="00237F8C" w:rsidP="00E25B33">
      <w:pPr>
        <w:pStyle w:val="FootnoteText"/>
        <w:spacing w:line="240" w:lineRule="auto"/>
        <w:jc w:val="both"/>
      </w:pPr>
      <w:r>
        <w:rPr>
          <w:rStyle w:val="FootnoteReference"/>
        </w:rPr>
        <w:footnoteRef/>
      </w:r>
      <w:r>
        <w:t xml:space="preserve"> Multnomah County extended the Safe Harbor timeframe from 60 to 90 days with Multnomah County Ordinance 1296 (dated July 9, 2021).</w:t>
      </w:r>
    </w:p>
  </w:footnote>
  <w:footnote w:id="2">
    <w:p w14:paraId="390D72A9" w14:textId="346D37A7" w:rsidR="004238B2" w:rsidRPr="004238B2" w:rsidRDefault="004238B2" w:rsidP="004238B2">
      <w:pPr>
        <w:jc w:val="both"/>
        <w:rPr>
          <w:rFonts w:ascii="Book Antiqua" w:hAnsi="Book Antiqua"/>
          <w:sz w:val="22"/>
          <w:szCs w:val="22"/>
        </w:rPr>
      </w:pPr>
      <w:r>
        <w:rPr>
          <w:rStyle w:val="FootnoteReference"/>
        </w:rPr>
        <w:footnoteRef/>
      </w:r>
      <w:r>
        <w:t xml:space="preserve"> </w:t>
      </w:r>
      <w:r w:rsidRPr="004238B2">
        <w:rPr>
          <w:rFonts w:ascii="Book Antiqua" w:hAnsi="Book Antiqua"/>
          <w:sz w:val="22"/>
          <w:szCs w:val="22"/>
        </w:rPr>
        <w:t>SB 278’s safe harbor provisions and OHCS notification provisions</w:t>
      </w:r>
      <w:r>
        <w:rPr>
          <w:rFonts w:ascii="Book Antiqua" w:hAnsi="Book Antiqua"/>
          <w:sz w:val="22"/>
          <w:szCs w:val="22"/>
        </w:rPr>
        <w:t>(discussed below)</w:t>
      </w:r>
      <w:r w:rsidRPr="004238B2">
        <w:rPr>
          <w:rFonts w:ascii="Book Antiqua" w:hAnsi="Book Antiqua"/>
          <w:sz w:val="22"/>
          <w:szCs w:val="22"/>
        </w:rPr>
        <w:t>, as amended by SB 891, will automatically be repealed on October 1, 2022.</w:t>
      </w:r>
    </w:p>
    <w:p w14:paraId="0042AEB7" w14:textId="53F4A0F9" w:rsidR="004238B2" w:rsidRPr="004238B2" w:rsidRDefault="004238B2" w:rsidP="004238B2">
      <w:pPr>
        <w:pStyle w:val="FootnoteText"/>
        <w:spacing w:line="240" w:lineRule="auto"/>
        <w:rPr>
          <w:sz w:val="22"/>
          <w:szCs w:val="22"/>
        </w:rPr>
      </w:pPr>
    </w:p>
  </w:footnote>
  <w:footnote w:id="3">
    <w:p w14:paraId="1784BAD0" w14:textId="36A3626F" w:rsidR="006131D9" w:rsidRPr="006131D9" w:rsidRDefault="006131D9" w:rsidP="006131D9">
      <w:pPr>
        <w:jc w:val="both"/>
        <w:rPr>
          <w:rFonts w:ascii="Book Antiqua" w:hAnsi="Book Antiqua"/>
          <w:sz w:val="22"/>
          <w:szCs w:val="22"/>
        </w:rPr>
      </w:pPr>
      <w:r>
        <w:rPr>
          <w:rStyle w:val="FootnoteReference"/>
        </w:rPr>
        <w:footnoteRef/>
      </w:r>
      <w:r>
        <w:t xml:space="preserve"> </w:t>
      </w:r>
      <w:r w:rsidRPr="006131D9">
        <w:rPr>
          <w:rFonts w:ascii="Book Antiqua" w:hAnsi="Book Antiqua"/>
          <w:sz w:val="22"/>
          <w:szCs w:val="22"/>
        </w:rPr>
        <w:t xml:space="preserve">However, SB 891 now </w:t>
      </w:r>
      <w:r w:rsidRPr="006131D9">
        <w:rPr>
          <w:rFonts w:ascii="Book Antiqua" w:hAnsi="Book Antiqua"/>
          <w:i/>
          <w:iCs/>
          <w:sz w:val="22"/>
          <w:szCs w:val="22"/>
          <w:u w:val="single"/>
        </w:rPr>
        <w:t>excludes</w:t>
      </w:r>
      <w:r w:rsidRPr="006131D9">
        <w:rPr>
          <w:rFonts w:ascii="Book Antiqua" w:hAnsi="Book Antiqua"/>
          <w:sz w:val="22"/>
          <w:szCs w:val="22"/>
        </w:rPr>
        <w:t xml:space="preserve"> from the definition of nonpayment any payments owed by a tenant for damages to the premises.</w:t>
      </w:r>
    </w:p>
    <w:p w14:paraId="5AB10451" w14:textId="59FF7CF3" w:rsidR="006131D9" w:rsidRPr="006131D9" w:rsidRDefault="006131D9" w:rsidP="006131D9">
      <w:pPr>
        <w:pStyle w:val="FootnoteText"/>
        <w:spacing w:line="240" w:lineRule="auto"/>
        <w:jc w:val="both"/>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FC2F" w14:textId="27001E06" w:rsidR="00BE7994" w:rsidRPr="006C6ECB" w:rsidRDefault="00BB7D22" w:rsidP="00597A72">
    <w:pPr>
      <w:autoSpaceDE w:val="0"/>
      <w:autoSpaceDN w:val="0"/>
      <w:adjustRightInd w:val="0"/>
      <w:rPr>
        <w:rFonts w:ascii="Times" w:hAnsi="Times" w:cs="_.q‘˛"/>
        <w:b/>
        <w:bCs/>
        <w:color w:val="171617"/>
        <w:sz w:val="18"/>
        <w:szCs w:val="18"/>
      </w:rPr>
    </w:pPr>
    <w:r w:rsidRPr="006C6ECB">
      <w:rPr>
        <w:noProof/>
        <w:sz w:val="19"/>
        <w:szCs w:val="19"/>
      </w:rPr>
      <w:drawing>
        <wp:anchor distT="0" distB="0" distL="114300" distR="114300" simplePos="0" relativeHeight="251670528" behindDoc="1" locked="0" layoutInCell="1" allowOverlap="1" wp14:anchorId="5F9351B5" wp14:editId="299713E0">
          <wp:simplePos x="0" y="0"/>
          <wp:positionH relativeFrom="column">
            <wp:posOffset>-866602</wp:posOffset>
          </wp:positionH>
          <wp:positionV relativeFrom="paragraph">
            <wp:posOffset>-1099762</wp:posOffset>
          </wp:positionV>
          <wp:extent cx="7805531" cy="10101324"/>
          <wp:effectExtent l="0" t="0" r="5080" b="0"/>
          <wp:wrapNone/>
          <wp:docPr id="19" name="Picture 1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05531" cy="10101324"/>
                  </a:xfrm>
                  <a:prstGeom prst="rect">
                    <a:avLst/>
                  </a:prstGeom>
                </pic:spPr>
              </pic:pic>
            </a:graphicData>
          </a:graphic>
          <wp14:sizeRelH relativeFrom="page">
            <wp14:pctWidth>0</wp14:pctWidth>
          </wp14:sizeRelH>
          <wp14:sizeRelV relativeFrom="page">
            <wp14:pctHeight>0</wp14:pctHeight>
          </wp14:sizeRelV>
        </wp:anchor>
      </w:drawing>
    </w:r>
    <w:r w:rsidR="00B278B0" w:rsidRPr="006C6ECB">
      <w:rPr>
        <w:noProof/>
        <w:sz w:val="19"/>
        <w:szCs w:val="19"/>
      </w:rPr>
      <w:drawing>
        <wp:anchor distT="0" distB="0" distL="114300" distR="114300" simplePos="0" relativeHeight="251665408" behindDoc="1" locked="0" layoutInCell="1" allowOverlap="1" wp14:anchorId="34B65879" wp14:editId="748164A0">
          <wp:simplePos x="0" y="0"/>
          <wp:positionH relativeFrom="column">
            <wp:posOffset>-3304540</wp:posOffset>
          </wp:positionH>
          <wp:positionV relativeFrom="paragraph">
            <wp:posOffset>-8761095</wp:posOffset>
          </wp:positionV>
          <wp:extent cx="7781808" cy="10070624"/>
          <wp:effectExtent l="0" t="0" r="3810" b="635"/>
          <wp:wrapNone/>
          <wp:docPr id="12" name="Picture 1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1808" cy="100706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2447" w14:textId="0893DAFF" w:rsidR="00597A72" w:rsidRPr="006C6ECB" w:rsidRDefault="00237F8C" w:rsidP="00597A72">
    <w:pPr>
      <w:autoSpaceDE w:val="0"/>
      <w:autoSpaceDN w:val="0"/>
      <w:adjustRightInd w:val="0"/>
      <w:ind w:left="7920"/>
      <w:rPr>
        <w:rFonts w:ascii="Times" w:hAnsi="Times" w:cs="_.q‘˛"/>
        <w:b/>
        <w:bCs/>
        <w:color w:val="171617"/>
        <w:sz w:val="18"/>
        <w:szCs w:val="18"/>
      </w:rPr>
    </w:pPr>
    <w:r>
      <w:rPr>
        <w:rFonts w:ascii="Times" w:hAnsi="Times" w:cs="_.q‘˛"/>
        <w:b/>
        <w:bCs/>
        <w:noProof/>
        <w:color w:val="171617"/>
        <w:sz w:val="19"/>
        <w:szCs w:val="19"/>
      </w:rPr>
      <w:drawing>
        <wp:anchor distT="0" distB="0" distL="114300" distR="114300" simplePos="0" relativeHeight="251659264" behindDoc="1" locked="0" layoutInCell="1" allowOverlap="1" wp14:anchorId="2A382993" wp14:editId="48CCC33F">
          <wp:simplePos x="0" y="0"/>
          <wp:positionH relativeFrom="margin">
            <wp:align>left</wp:align>
          </wp:positionH>
          <wp:positionV relativeFrom="paragraph">
            <wp:posOffset>-434340</wp:posOffset>
          </wp:positionV>
          <wp:extent cx="3230880" cy="886460"/>
          <wp:effectExtent l="0" t="0" r="7620" b="8890"/>
          <wp:wrapNone/>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81687" cy="900400"/>
                  </a:xfrm>
                  <a:prstGeom prst="rect">
                    <a:avLst/>
                  </a:prstGeom>
                </pic:spPr>
              </pic:pic>
            </a:graphicData>
          </a:graphic>
          <wp14:sizeRelH relativeFrom="page">
            <wp14:pctWidth>0</wp14:pctWidth>
          </wp14:sizeRelH>
          <wp14:sizeRelV relativeFrom="page">
            <wp14:pctHeight>0</wp14:pctHeight>
          </wp14:sizeRelV>
        </wp:anchor>
      </w:drawing>
    </w:r>
    <w:r w:rsidR="009565A8">
      <w:rPr>
        <w:noProof/>
      </w:rPr>
      <w:drawing>
        <wp:anchor distT="0" distB="0" distL="114300" distR="114300" simplePos="0" relativeHeight="251657216" behindDoc="1" locked="0" layoutInCell="1" allowOverlap="1" wp14:anchorId="60D358FB" wp14:editId="178AD306">
          <wp:simplePos x="0" y="0"/>
          <wp:positionH relativeFrom="page">
            <wp:posOffset>37465</wp:posOffset>
          </wp:positionH>
          <wp:positionV relativeFrom="paragraph">
            <wp:posOffset>-1539240</wp:posOffset>
          </wp:positionV>
          <wp:extent cx="7810500" cy="10561955"/>
          <wp:effectExtent l="0" t="0" r="0" b="4445"/>
          <wp:wrapNone/>
          <wp:docPr id="24" name="Picture 2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810500" cy="10561955"/>
                  </a:xfrm>
                  <a:prstGeom prst="rect">
                    <a:avLst/>
                  </a:prstGeom>
                </pic:spPr>
              </pic:pic>
            </a:graphicData>
          </a:graphic>
          <wp14:sizeRelH relativeFrom="page">
            <wp14:pctWidth>0</wp14:pctWidth>
          </wp14:sizeRelH>
          <wp14:sizeRelV relativeFrom="page">
            <wp14:pctHeight>0</wp14:pctHeight>
          </wp14:sizeRelV>
        </wp:anchor>
      </w:drawing>
    </w:r>
    <w:r w:rsidR="00597A72" w:rsidRPr="006C6ECB">
      <w:rPr>
        <w:rFonts w:ascii="Times" w:hAnsi="Times" w:cs="_.q‘˛"/>
        <w:b/>
        <w:bCs/>
        <w:color w:val="171617"/>
        <w:sz w:val="19"/>
        <w:szCs w:val="19"/>
      </w:rPr>
      <w:t xml:space="preserve">Phillip C. </w:t>
    </w:r>
    <w:proofErr w:type="spellStart"/>
    <w:r w:rsidR="00597A72" w:rsidRPr="006C6ECB">
      <w:rPr>
        <w:rFonts w:ascii="Times" w:hAnsi="Times" w:cs="_.q‘˛"/>
        <w:b/>
        <w:bCs/>
        <w:color w:val="171617"/>
        <w:sz w:val="19"/>
        <w:szCs w:val="19"/>
      </w:rPr>
      <w:t>Querin</w:t>
    </w:r>
    <w:proofErr w:type="spellEnd"/>
    <w:r w:rsidR="00597A72" w:rsidRPr="006C6ECB">
      <w:rPr>
        <w:rFonts w:ascii="Times" w:hAnsi="Times" w:cs="_.q‘˛"/>
        <w:b/>
        <w:bCs/>
        <w:color w:val="171617"/>
        <w:sz w:val="18"/>
        <w:szCs w:val="18"/>
      </w:rPr>
      <w:t xml:space="preserve"> </w:t>
    </w:r>
    <w:hyperlink r:id="rId3" w:history="1">
      <w:r w:rsidR="00597A72" w:rsidRPr="00683BF9">
        <w:rPr>
          <w:rStyle w:val="Hyperlink"/>
          <w:rFonts w:ascii="Times" w:hAnsi="Times" w:cs="_.q‘˛"/>
          <w:b/>
          <w:bCs/>
          <w:sz w:val="18"/>
          <w:szCs w:val="18"/>
          <w:u w:val="none"/>
        </w:rPr>
        <w:t>phil@q-law.com</w:t>
      </w:r>
    </w:hyperlink>
  </w:p>
  <w:p w14:paraId="40827C5E" w14:textId="1AB56659" w:rsidR="00597A72" w:rsidRPr="00683BF9" w:rsidRDefault="00B67F33" w:rsidP="00597A72">
    <w:pPr>
      <w:autoSpaceDE w:val="0"/>
      <w:autoSpaceDN w:val="0"/>
      <w:adjustRightInd w:val="0"/>
      <w:ind w:left="7920"/>
      <w:rPr>
        <w:rFonts w:ascii="Times" w:hAnsi="Times" w:cs="_.q‘˛"/>
        <w:b/>
        <w:bCs/>
        <w:color w:val="171617"/>
        <w:sz w:val="18"/>
        <w:szCs w:val="18"/>
      </w:rPr>
    </w:pPr>
    <w:hyperlink r:id="rId4" w:history="1">
      <w:r w:rsidR="00597A72" w:rsidRPr="00683BF9">
        <w:rPr>
          <w:rStyle w:val="Hyperlink"/>
          <w:rFonts w:ascii="Times" w:hAnsi="Times" w:cs="_.q‘˛"/>
          <w:b/>
          <w:bCs/>
          <w:sz w:val="18"/>
          <w:szCs w:val="18"/>
          <w:u w:val="none"/>
        </w:rPr>
        <w:t>www.q-law.com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decimal"/>
      <w:lvlText w:val="%1."/>
      <w:lvlJc w:val="left"/>
      <w:pPr>
        <w:ind w:left="100" w:hanging="217"/>
      </w:pPr>
      <w:rPr>
        <w:rFonts w:ascii="Arial" w:hAnsi="Arial" w:cs="Arial"/>
        <w:b w:val="0"/>
        <w:bCs w:val="0"/>
        <w:i w:val="0"/>
        <w:iCs w:val="0"/>
        <w:spacing w:val="-1"/>
        <w:w w:val="102"/>
        <w:sz w:val="19"/>
        <w:szCs w:val="19"/>
      </w:rPr>
    </w:lvl>
    <w:lvl w:ilvl="1">
      <w:numFmt w:val="bullet"/>
      <w:lvlText w:val="•"/>
      <w:lvlJc w:val="left"/>
      <w:pPr>
        <w:ind w:left="996" w:hanging="217"/>
      </w:pPr>
    </w:lvl>
    <w:lvl w:ilvl="2">
      <w:numFmt w:val="bullet"/>
      <w:lvlText w:val="•"/>
      <w:lvlJc w:val="left"/>
      <w:pPr>
        <w:ind w:left="1892" w:hanging="217"/>
      </w:pPr>
    </w:lvl>
    <w:lvl w:ilvl="3">
      <w:numFmt w:val="bullet"/>
      <w:lvlText w:val="•"/>
      <w:lvlJc w:val="left"/>
      <w:pPr>
        <w:ind w:left="2788" w:hanging="217"/>
      </w:pPr>
    </w:lvl>
    <w:lvl w:ilvl="4">
      <w:numFmt w:val="bullet"/>
      <w:lvlText w:val="•"/>
      <w:lvlJc w:val="left"/>
      <w:pPr>
        <w:ind w:left="3684" w:hanging="217"/>
      </w:pPr>
    </w:lvl>
    <w:lvl w:ilvl="5">
      <w:numFmt w:val="bullet"/>
      <w:lvlText w:val="•"/>
      <w:lvlJc w:val="left"/>
      <w:pPr>
        <w:ind w:left="4580" w:hanging="217"/>
      </w:pPr>
    </w:lvl>
    <w:lvl w:ilvl="6">
      <w:numFmt w:val="bullet"/>
      <w:lvlText w:val="•"/>
      <w:lvlJc w:val="left"/>
      <w:pPr>
        <w:ind w:left="5476" w:hanging="217"/>
      </w:pPr>
    </w:lvl>
    <w:lvl w:ilvl="7">
      <w:numFmt w:val="bullet"/>
      <w:lvlText w:val="•"/>
      <w:lvlJc w:val="left"/>
      <w:pPr>
        <w:ind w:left="6372" w:hanging="217"/>
      </w:pPr>
    </w:lvl>
    <w:lvl w:ilvl="8">
      <w:numFmt w:val="bullet"/>
      <w:lvlText w:val="•"/>
      <w:lvlJc w:val="left"/>
      <w:pPr>
        <w:ind w:left="7268" w:hanging="217"/>
      </w:pPr>
    </w:lvl>
  </w:abstractNum>
  <w:abstractNum w:abstractNumId="1" w15:restartNumberingAfterBreak="0">
    <w:nsid w:val="1713705E"/>
    <w:multiLevelType w:val="hybridMultilevel"/>
    <w:tmpl w:val="943C3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0417E"/>
    <w:multiLevelType w:val="hybridMultilevel"/>
    <w:tmpl w:val="EE62B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91FDD"/>
    <w:multiLevelType w:val="hybridMultilevel"/>
    <w:tmpl w:val="ADDA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92123"/>
    <w:multiLevelType w:val="multilevel"/>
    <w:tmpl w:val="AB9AA87E"/>
    <w:lvl w:ilvl="0">
      <w:start w:val="1"/>
      <w:numFmt w:val="lowerLetter"/>
      <w:lvlText w:val="%1)"/>
      <w:lvlJc w:val="left"/>
      <w:pPr>
        <w:tabs>
          <w:tab w:val="num" w:pos="1440"/>
        </w:tabs>
        <w:ind w:left="1440" w:hanging="360"/>
      </w:pPr>
      <w:rPr>
        <w:rFonts w:ascii="Calibri" w:eastAsia="Times New Roman" w:hAnsi="Calibri" w:cs="Calibri"/>
        <w:b/>
        <w:bCs/>
        <w:i/>
        <w:iCs/>
      </w:rPr>
    </w:lvl>
    <w:lvl w:ilvl="1">
      <w:start w:val="1"/>
      <w:numFmt w:val="decimal"/>
      <w:lvlText w:val="%2."/>
      <w:lvlJc w:val="left"/>
      <w:pPr>
        <w:tabs>
          <w:tab w:val="num" w:pos="2160"/>
        </w:tabs>
        <w:ind w:left="2160" w:hanging="360"/>
      </w:pPr>
      <w:rPr>
        <w:b/>
        <w:bCs/>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5" w15:restartNumberingAfterBreak="0">
    <w:nsid w:val="262333E4"/>
    <w:multiLevelType w:val="hybridMultilevel"/>
    <w:tmpl w:val="819CDAB4"/>
    <w:lvl w:ilvl="0" w:tplc="22A8C90A">
      <w:numFmt w:val="bullet"/>
      <w:lvlText w:val="•"/>
      <w:lvlJc w:val="left"/>
      <w:pPr>
        <w:ind w:left="720" w:hanging="720"/>
      </w:pPr>
      <w:rPr>
        <w:rFonts w:ascii="Calibri" w:eastAsiaTheme="minorHAnsi" w:hAnsi="Calibri" w:cstheme="minorBidi" w:hint="default"/>
      </w:rPr>
    </w:lvl>
    <w:lvl w:ilvl="1" w:tplc="EC90D2D2">
      <w:numFmt w:val="bullet"/>
      <w:lvlText w:val=""/>
      <w:lvlJc w:val="left"/>
      <w:pPr>
        <w:ind w:left="1440" w:hanging="72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347E9F"/>
    <w:multiLevelType w:val="hybridMultilevel"/>
    <w:tmpl w:val="06A42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23F0C"/>
    <w:multiLevelType w:val="hybridMultilevel"/>
    <w:tmpl w:val="E8080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F5F9F"/>
    <w:multiLevelType w:val="hybridMultilevel"/>
    <w:tmpl w:val="654A30A4"/>
    <w:lvl w:ilvl="0" w:tplc="BE729594">
      <w:numFmt w:val="bullet"/>
      <w:lvlText w:val="•"/>
      <w:lvlJc w:val="left"/>
      <w:pPr>
        <w:ind w:left="1080" w:hanging="72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B4104"/>
    <w:multiLevelType w:val="multilevel"/>
    <w:tmpl w:val="0462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8073CC"/>
    <w:multiLevelType w:val="hybridMultilevel"/>
    <w:tmpl w:val="30F6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1734D"/>
    <w:multiLevelType w:val="hybridMultilevel"/>
    <w:tmpl w:val="CA825E46"/>
    <w:lvl w:ilvl="0" w:tplc="6568B23A">
      <w:start w:val="3"/>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27C99"/>
    <w:multiLevelType w:val="hybridMultilevel"/>
    <w:tmpl w:val="46DA7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FA4A29"/>
    <w:multiLevelType w:val="hybridMultilevel"/>
    <w:tmpl w:val="A3B255F0"/>
    <w:styleLink w:val="ImportedStyle3"/>
    <w:lvl w:ilvl="0" w:tplc="34EEE188">
      <w:start w:val="1"/>
      <w:numFmt w:val="decimal"/>
      <w:lvlText w:val="%1."/>
      <w:lvlJc w:val="left"/>
      <w:pPr>
        <w:tabs>
          <w:tab w:val="num" w:pos="720"/>
        </w:tabs>
        <w:ind w:left="360" w:firstLine="0"/>
      </w:pPr>
      <w:rPr>
        <w:rFonts w:ascii="Times New Roman" w:eastAsia="Arial Unicode MS" w:hAnsi="Times New Roman"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614BFC2">
      <w:start w:val="1"/>
      <w:numFmt w:val="decimal"/>
      <w:lvlText w:val="%2."/>
      <w:lvlJc w:val="left"/>
      <w:pPr>
        <w:tabs>
          <w:tab w:val="num" w:pos="1260"/>
        </w:tabs>
        <w:ind w:left="900" w:firstLine="3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6169E3A">
      <w:start w:val="1"/>
      <w:numFmt w:val="lowerRoman"/>
      <w:lvlText w:val="%3."/>
      <w:lvlJc w:val="left"/>
      <w:pPr>
        <w:tabs>
          <w:tab w:val="num" w:pos="1800"/>
        </w:tabs>
        <w:ind w:left="1440" w:firstLine="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4F69E96">
      <w:start w:val="1"/>
      <w:numFmt w:val="decimal"/>
      <w:lvlText w:val="%4."/>
      <w:lvlJc w:val="left"/>
      <w:pPr>
        <w:tabs>
          <w:tab w:val="num" w:pos="252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D9603E2">
      <w:start w:val="1"/>
      <w:numFmt w:val="lowerLetter"/>
      <w:lvlText w:val="%5."/>
      <w:lvlJc w:val="left"/>
      <w:pPr>
        <w:tabs>
          <w:tab w:val="num" w:pos="3240"/>
        </w:tabs>
        <w:ind w:left="288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8A0471C">
      <w:start w:val="1"/>
      <w:numFmt w:val="lowerRoman"/>
      <w:lvlText w:val="%6."/>
      <w:lvlJc w:val="left"/>
      <w:pPr>
        <w:tabs>
          <w:tab w:val="num" w:pos="3960"/>
        </w:tabs>
        <w:ind w:left="3600" w:firstLine="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B4C0B8A">
      <w:start w:val="1"/>
      <w:numFmt w:val="decimal"/>
      <w:lvlText w:val="%7."/>
      <w:lvlJc w:val="left"/>
      <w:pPr>
        <w:tabs>
          <w:tab w:val="num" w:pos="4680"/>
        </w:tabs>
        <w:ind w:left="432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5C6C81A">
      <w:start w:val="1"/>
      <w:numFmt w:val="lowerLetter"/>
      <w:lvlText w:val="%8."/>
      <w:lvlJc w:val="left"/>
      <w:pPr>
        <w:tabs>
          <w:tab w:val="num" w:pos="5400"/>
        </w:tabs>
        <w:ind w:left="504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DFCF8BC">
      <w:start w:val="1"/>
      <w:numFmt w:val="lowerRoman"/>
      <w:lvlText w:val="%9."/>
      <w:lvlJc w:val="left"/>
      <w:pPr>
        <w:tabs>
          <w:tab w:val="num" w:pos="6120"/>
        </w:tabs>
        <w:ind w:left="5760" w:firstLine="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6490096"/>
    <w:multiLevelType w:val="hybridMultilevel"/>
    <w:tmpl w:val="40D8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55C77"/>
    <w:multiLevelType w:val="hybridMultilevel"/>
    <w:tmpl w:val="11F2E1A8"/>
    <w:lvl w:ilvl="0" w:tplc="BE729594">
      <w:numFmt w:val="bullet"/>
      <w:lvlText w:val="•"/>
      <w:lvlJc w:val="left"/>
      <w:pPr>
        <w:ind w:left="1080" w:hanging="72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A6F8A"/>
    <w:multiLevelType w:val="hybridMultilevel"/>
    <w:tmpl w:val="8DEAC840"/>
    <w:lvl w:ilvl="0" w:tplc="22A8C90A">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44333"/>
    <w:multiLevelType w:val="hybridMultilevel"/>
    <w:tmpl w:val="A0BCBE00"/>
    <w:lvl w:ilvl="0" w:tplc="BE729594">
      <w:numFmt w:val="bullet"/>
      <w:lvlText w:val="•"/>
      <w:lvlJc w:val="left"/>
      <w:pPr>
        <w:ind w:left="1080" w:hanging="72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B6BA4"/>
    <w:multiLevelType w:val="hybridMultilevel"/>
    <w:tmpl w:val="EE62B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1D27E1"/>
    <w:multiLevelType w:val="hybridMultilevel"/>
    <w:tmpl w:val="58DA1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9E04FDD"/>
    <w:multiLevelType w:val="hybridMultilevel"/>
    <w:tmpl w:val="1870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8"/>
  </w:num>
  <w:num w:numId="4">
    <w:abstractNumId w:val="9"/>
  </w:num>
  <w:num w:numId="5">
    <w:abstractNumId w:val="0"/>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12"/>
  </w:num>
  <w:num w:numId="11">
    <w:abstractNumId w:val="5"/>
  </w:num>
  <w:num w:numId="12">
    <w:abstractNumId w:val="16"/>
  </w:num>
  <w:num w:numId="13">
    <w:abstractNumId w:val="10"/>
  </w:num>
  <w:num w:numId="14">
    <w:abstractNumId w:val="19"/>
  </w:num>
  <w:num w:numId="15">
    <w:abstractNumId w:val="3"/>
  </w:num>
  <w:num w:numId="16">
    <w:abstractNumId w:val="14"/>
  </w:num>
  <w:num w:numId="17">
    <w:abstractNumId w:val="1"/>
  </w:num>
  <w:num w:numId="18">
    <w:abstractNumId w:val="20"/>
  </w:num>
  <w:num w:numId="19">
    <w:abstractNumId w:val="17"/>
  </w:num>
  <w:num w:numId="20">
    <w:abstractNumId w:val="8"/>
  </w:num>
  <w:num w:numId="21">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0A"/>
    <w:rsid w:val="00003D67"/>
    <w:rsid w:val="0001219C"/>
    <w:rsid w:val="00014E4C"/>
    <w:rsid w:val="0002022B"/>
    <w:rsid w:val="00031A46"/>
    <w:rsid w:val="00032515"/>
    <w:rsid w:val="000516AE"/>
    <w:rsid w:val="00056F53"/>
    <w:rsid w:val="00061438"/>
    <w:rsid w:val="00061E24"/>
    <w:rsid w:val="00071DDB"/>
    <w:rsid w:val="000761EA"/>
    <w:rsid w:val="000838C4"/>
    <w:rsid w:val="00085BB7"/>
    <w:rsid w:val="000941B6"/>
    <w:rsid w:val="000B52B1"/>
    <w:rsid w:val="000B67A1"/>
    <w:rsid w:val="000B7F6B"/>
    <w:rsid w:val="000C0297"/>
    <w:rsid w:val="000C2B14"/>
    <w:rsid w:val="000C2D9B"/>
    <w:rsid w:val="000D0AFC"/>
    <w:rsid w:val="000D346A"/>
    <w:rsid w:val="000D67B1"/>
    <w:rsid w:val="000E387C"/>
    <w:rsid w:val="000E3E72"/>
    <w:rsid w:val="000E7D1C"/>
    <w:rsid w:val="000F7235"/>
    <w:rsid w:val="00103F71"/>
    <w:rsid w:val="0010468A"/>
    <w:rsid w:val="00107D4D"/>
    <w:rsid w:val="001105F1"/>
    <w:rsid w:val="00121E94"/>
    <w:rsid w:val="001224DE"/>
    <w:rsid w:val="001227D2"/>
    <w:rsid w:val="0012397C"/>
    <w:rsid w:val="00133B23"/>
    <w:rsid w:val="00144555"/>
    <w:rsid w:val="00154ACE"/>
    <w:rsid w:val="001676D2"/>
    <w:rsid w:val="00170160"/>
    <w:rsid w:val="00170BB4"/>
    <w:rsid w:val="00172F1D"/>
    <w:rsid w:val="00182EAF"/>
    <w:rsid w:val="00186E46"/>
    <w:rsid w:val="001927B5"/>
    <w:rsid w:val="0019580E"/>
    <w:rsid w:val="001A2FF6"/>
    <w:rsid w:val="001A480B"/>
    <w:rsid w:val="001A54A7"/>
    <w:rsid w:val="001B04EE"/>
    <w:rsid w:val="001B6BEE"/>
    <w:rsid w:val="001C0D88"/>
    <w:rsid w:val="001C3987"/>
    <w:rsid w:val="001C48E1"/>
    <w:rsid w:val="001C6655"/>
    <w:rsid w:val="001D4B8F"/>
    <w:rsid w:val="001E5743"/>
    <w:rsid w:val="00201167"/>
    <w:rsid w:val="00207349"/>
    <w:rsid w:val="00210167"/>
    <w:rsid w:val="00210AF9"/>
    <w:rsid w:val="00213C8D"/>
    <w:rsid w:val="00214E97"/>
    <w:rsid w:val="00220B5F"/>
    <w:rsid w:val="002229E5"/>
    <w:rsid w:val="00224360"/>
    <w:rsid w:val="00231456"/>
    <w:rsid w:val="00231887"/>
    <w:rsid w:val="00237F8C"/>
    <w:rsid w:val="002534E8"/>
    <w:rsid w:val="0025613D"/>
    <w:rsid w:val="002626CD"/>
    <w:rsid w:val="00262B2C"/>
    <w:rsid w:val="00263277"/>
    <w:rsid w:val="00263BD4"/>
    <w:rsid w:val="00264B70"/>
    <w:rsid w:val="00265095"/>
    <w:rsid w:val="00267BBB"/>
    <w:rsid w:val="00271D6C"/>
    <w:rsid w:val="00272D7F"/>
    <w:rsid w:val="002917A8"/>
    <w:rsid w:val="002A1049"/>
    <w:rsid w:val="002A3DFD"/>
    <w:rsid w:val="002A466E"/>
    <w:rsid w:val="002A560A"/>
    <w:rsid w:val="002B4A10"/>
    <w:rsid w:val="002B5D7C"/>
    <w:rsid w:val="002C4D3F"/>
    <w:rsid w:val="002C6851"/>
    <w:rsid w:val="002D06B7"/>
    <w:rsid w:val="002D44BE"/>
    <w:rsid w:val="002D51AE"/>
    <w:rsid w:val="002E49CC"/>
    <w:rsid w:val="002E4D91"/>
    <w:rsid w:val="003047EF"/>
    <w:rsid w:val="003060EA"/>
    <w:rsid w:val="00314543"/>
    <w:rsid w:val="00321410"/>
    <w:rsid w:val="00321565"/>
    <w:rsid w:val="00321E5E"/>
    <w:rsid w:val="00322B46"/>
    <w:rsid w:val="003237E1"/>
    <w:rsid w:val="003254E9"/>
    <w:rsid w:val="00332C86"/>
    <w:rsid w:val="00341532"/>
    <w:rsid w:val="003419AA"/>
    <w:rsid w:val="003513A6"/>
    <w:rsid w:val="003575B9"/>
    <w:rsid w:val="00357E4A"/>
    <w:rsid w:val="00362F37"/>
    <w:rsid w:val="003635ED"/>
    <w:rsid w:val="003657C6"/>
    <w:rsid w:val="00375144"/>
    <w:rsid w:val="00382811"/>
    <w:rsid w:val="00392BF5"/>
    <w:rsid w:val="00393E74"/>
    <w:rsid w:val="00395D41"/>
    <w:rsid w:val="003A1A47"/>
    <w:rsid w:val="003B1104"/>
    <w:rsid w:val="003C4B10"/>
    <w:rsid w:val="003C4FC0"/>
    <w:rsid w:val="003E061E"/>
    <w:rsid w:val="003E1694"/>
    <w:rsid w:val="003E1E41"/>
    <w:rsid w:val="003E54CA"/>
    <w:rsid w:val="003E5AF1"/>
    <w:rsid w:val="003F17B0"/>
    <w:rsid w:val="003F245C"/>
    <w:rsid w:val="003F26EB"/>
    <w:rsid w:val="003F6661"/>
    <w:rsid w:val="004002B7"/>
    <w:rsid w:val="00400792"/>
    <w:rsid w:val="00402423"/>
    <w:rsid w:val="004131A1"/>
    <w:rsid w:val="00417A89"/>
    <w:rsid w:val="004214D8"/>
    <w:rsid w:val="004236DD"/>
    <w:rsid w:val="004238B2"/>
    <w:rsid w:val="00427E47"/>
    <w:rsid w:val="0043551D"/>
    <w:rsid w:val="004358CA"/>
    <w:rsid w:val="00443CFE"/>
    <w:rsid w:val="00443FF0"/>
    <w:rsid w:val="004441C7"/>
    <w:rsid w:val="0044707D"/>
    <w:rsid w:val="004540AA"/>
    <w:rsid w:val="00454D75"/>
    <w:rsid w:val="00461D1B"/>
    <w:rsid w:val="004642B7"/>
    <w:rsid w:val="00470754"/>
    <w:rsid w:val="004726CE"/>
    <w:rsid w:val="00472E84"/>
    <w:rsid w:val="004745B9"/>
    <w:rsid w:val="00477646"/>
    <w:rsid w:val="004816AE"/>
    <w:rsid w:val="004876BC"/>
    <w:rsid w:val="0049404A"/>
    <w:rsid w:val="00497240"/>
    <w:rsid w:val="004A481B"/>
    <w:rsid w:val="004B02FF"/>
    <w:rsid w:val="004B2049"/>
    <w:rsid w:val="004B4382"/>
    <w:rsid w:val="004C44B7"/>
    <w:rsid w:val="004C599B"/>
    <w:rsid w:val="004D1CB7"/>
    <w:rsid w:val="004E47E7"/>
    <w:rsid w:val="004F4D80"/>
    <w:rsid w:val="0050715B"/>
    <w:rsid w:val="00510E0D"/>
    <w:rsid w:val="005157C2"/>
    <w:rsid w:val="005163D5"/>
    <w:rsid w:val="00517323"/>
    <w:rsid w:val="005315A4"/>
    <w:rsid w:val="0054024E"/>
    <w:rsid w:val="00551669"/>
    <w:rsid w:val="005552F2"/>
    <w:rsid w:val="005631A6"/>
    <w:rsid w:val="00563C57"/>
    <w:rsid w:val="00577440"/>
    <w:rsid w:val="00583785"/>
    <w:rsid w:val="005842FC"/>
    <w:rsid w:val="00590B06"/>
    <w:rsid w:val="00591EEC"/>
    <w:rsid w:val="005953C3"/>
    <w:rsid w:val="005953CA"/>
    <w:rsid w:val="00595735"/>
    <w:rsid w:val="00597A72"/>
    <w:rsid w:val="005A1575"/>
    <w:rsid w:val="005A1823"/>
    <w:rsid w:val="005A2587"/>
    <w:rsid w:val="005A3AB5"/>
    <w:rsid w:val="005A54ED"/>
    <w:rsid w:val="005A5ED7"/>
    <w:rsid w:val="005A75D6"/>
    <w:rsid w:val="005B78C4"/>
    <w:rsid w:val="005D2898"/>
    <w:rsid w:val="005D6A25"/>
    <w:rsid w:val="005E6F46"/>
    <w:rsid w:val="005F36AB"/>
    <w:rsid w:val="005F5839"/>
    <w:rsid w:val="00612D37"/>
    <w:rsid w:val="006131D9"/>
    <w:rsid w:val="00614EB1"/>
    <w:rsid w:val="0062708F"/>
    <w:rsid w:val="0063285D"/>
    <w:rsid w:val="00633A29"/>
    <w:rsid w:val="00636968"/>
    <w:rsid w:val="006431CB"/>
    <w:rsid w:val="00653ED7"/>
    <w:rsid w:val="00657417"/>
    <w:rsid w:val="00665920"/>
    <w:rsid w:val="0066760E"/>
    <w:rsid w:val="00667BF9"/>
    <w:rsid w:val="00672F43"/>
    <w:rsid w:val="00674BE2"/>
    <w:rsid w:val="00683BF9"/>
    <w:rsid w:val="0068673F"/>
    <w:rsid w:val="006907CB"/>
    <w:rsid w:val="00690E09"/>
    <w:rsid w:val="00691691"/>
    <w:rsid w:val="006A337C"/>
    <w:rsid w:val="006A3CAA"/>
    <w:rsid w:val="006A7F03"/>
    <w:rsid w:val="006B402F"/>
    <w:rsid w:val="006C1A27"/>
    <w:rsid w:val="006C6ECB"/>
    <w:rsid w:val="006E1D70"/>
    <w:rsid w:val="006F6DA1"/>
    <w:rsid w:val="00701ED9"/>
    <w:rsid w:val="00705AEC"/>
    <w:rsid w:val="0070613F"/>
    <w:rsid w:val="00711384"/>
    <w:rsid w:val="00712AB4"/>
    <w:rsid w:val="00715891"/>
    <w:rsid w:val="0072463A"/>
    <w:rsid w:val="007251D6"/>
    <w:rsid w:val="00733853"/>
    <w:rsid w:val="00737A12"/>
    <w:rsid w:val="007403EE"/>
    <w:rsid w:val="00742CFD"/>
    <w:rsid w:val="00743C1C"/>
    <w:rsid w:val="00744F5E"/>
    <w:rsid w:val="007517B9"/>
    <w:rsid w:val="00755576"/>
    <w:rsid w:val="0076303A"/>
    <w:rsid w:val="00764948"/>
    <w:rsid w:val="007736C4"/>
    <w:rsid w:val="00774F2F"/>
    <w:rsid w:val="007819E6"/>
    <w:rsid w:val="00783363"/>
    <w:rsid w:val="00783ADE"/>
    <w:rsid w:val="00786074"/>
    <w:rsid w:val="007866B9"/>
    <w:rsid w:val="00791465"/>
    <w:rsid w:val="007917ED"/>
    <w:rsid w:val="007A0AD4"/>
    <w:rsid w:val="007A23BB"/>
    <w:rsid w:val="007A2B09"/>
    <w:rsid w:val="007A32A1"/>
    <w:rsid w:val="007B1C26"/>
    <w:rsid w:val="007D6A5D"/>
    <w:rsid w:val="007D6F9C"/>
    <w:rsid w:val="007E06E7"/>
    <w:rsid w:val="007E71DF"/>
    <w:rsid w:val="007F547F"/>
    <w:rsid w:val="0081468F"/>
    <w:rsid w:val="00815AC7"/>
    <w:rsid w:val="008230A0"/>
    <w:rsid w:val="008232F2"/>
    <w:rsid w:val="00826A53"/>
    <w:rsid w:val="00842BFF"/>
    <w:rsid w:val="00857316"/>
    <w:rsid w:val="00865574"/>
    <w:rsid w:val="0086786A"/>
    <w:rsid w:val="00874DEE"/>
    <w:rsid w:val="00880539"/>
    <w:rsid w:val="0088235F"/>
    <w:rsid w:val="00883C17"/>
    <w:rsid w:val="00892024"/>
    <w:rsid w:val="008933C6"/>
    <w:rsid w:val="0089377E"/>
    <w:rsid w:val="008A09D1"/>
    <w:rsid w:val="008A0F95"/>
    <w:rsid w:val="008B0B8D"/>
    <w:rsid w:val="008B49ED"/>
    <w:rsid w:val="008C25D1"/>
    <w:rsid w:val="008C4305"/>
    <w:rsid w:val="008C6CE7"/>
    <w:rsid w:val="008D29F2"/>
    <w:rsid w:val="008D31F2"/>
    <w:rsid w:val="008D4559"/>
    <w:rsid w:val="008E0934"/>
    <w:rsid w:val="008E2F47"/>
    <w:rsid w:val="008F09EA"/>
    <w:rsid w:val="008F1CA1"/>
    <w:rsid w:val="0091127E"/>
    <w:rsid w:val="00913C3B"/>
    <w:rsid w:val="0092080B"/>
    <w:rsid w:val="00942B0D"/>
    <w:rsid w:val="009463A4"/>
    <w:rsid w:val="009565A8"/>
    <w:rsid w:val="00962857"/>
    <w:rsid w:val="0096285E"/>
    <w:rsid w:val="00964835"/>
    <w:rsid w:val="00964BC0"/>
    <w:rsid w:val="00971493"/>
    <w:rsid w:val="00977186"/>
    <w:rsid w:val="00986CBB"/>
    <w:rsid w:val="009918BE"/>
    <w:rsid w:val="00995A4F"/>
    <w:rsid w:val="009973BB"/>
    <w:rsid w:val="009A1528"/>
    <w:rsid w:val="009A171D"/>
    <w:rsid w:val="009A304C"/>
    <w:rsid w:val="009A5DE0"/>
    <w:rsid w:val="009B077C"/>
    <w:rsid w:val="009B1602"/>
    <w:rsid w:val="009B2D04"/>
    <w:rsid w:val="009B4712"/>
    <w:rsid w:val="009B655A"/>
    <w:rsid w:val="009C480D"/>
    <w:rsid w:val="009D096E"/>
    <w:rsid w:val="009D22FF"/>
    <w:rsid w:val="009D456C"/>
    <w:rsid w:val="009E374C"/>
    <w:rsid w:val="009E50F2"/>
    <w:rsid w:val="009E6AB5"/>
    <w:rsid w:val="009E7C81"/>
    <w:rsid w:val="009F0093"/>
    <w:rsid w:val="009F0E19"/>
    <w:rsid w:val="009F2D72"/>
    <w:rsid w:val="009F426C"/>
    <w:rsid w:val="009F4F9C"/>
    <w:rsid w:val="00A057F5"/>
    <w:rsid w:val="00A11A74"/>
    <w:rsid w:val="00A14391"/>
    <w:rsid w:val="00A317E4"/>
    <w:rsid w:val="00A31A47"/>
    <w:rsid w:val="00A34918"/>
    <w:rsid w:val="00A35BD2"/>
    <w:rsid w:val="00A446F7"/>
    <w:rsid w:val="00A46CCB"/>
    <w:rsid w:val="00A51AC7"/>
    <w:rsid w:val="00A52297"/>
    <w:rsid w:val="00A52C38"/>
    <w:rsid w:val="00A53D10"/>
    <w:rsid w:val="00A54DB6"/>
    <w:rsid w:val="00A57051"/>
    <w:rsid w:val="00A618C8"/>
    <w:rsid w:val="00A656AC"/>
    <w:rsid w:val="00A65D3C"/>
    <w:rsid w:val="00A66E41"/>
    <w:rsid w:val="00A767C5"/>
    <w:rsid w:val="00A82814"/>
    <w:rsid w:val="00A84FB6"/>
    <w:rsid w:val="00A8512D"/>
    <w:rsid w:val="00A94B8D"/>
    <w:rsid w:val="00AA0AD3"/>
    <w:rsid w:val="00AA0ED9"/>
    <w:rsid w:val="00AA5073"/>
    <w:rsid w:val="00AA5913"/>
    <w:rsid w:val="00AB0553"/>
    <w:rsid w:val="00AB5596"/>
    <w:rsid w:val="00AB7A36"/>
    <w:rsid w:val="00AC71F0"/>
    <w:rsid w:val="00AD0F1C"/>
    <w:rsid w:val="00AD10E1"/>
    <w:rsid w:val="00AD141C"/>
    <w:rsid w:val="00AF0A06"/>
    <w:rsid w:val="00B027C9"/>
    <w:rsid w:val="00B10536"/>
    <w:rsid w:val="00B2484D"/>
    <w:rsid w:val="00B278B0"/>
    <w:rsid w:val="00B340A6"/>
    <w:rsid w:val="00B436FE"/>
    <w:rsid w:val="00B46FCA"/>
    <w:rsid w:val="00B50E54"/>
    <w:rsid w:val="00B530DF"/>
    <w:rsid w:val="00B5585C"/>
    <w:rsid w:val="00B60646"/>
    <w:rsid w:val="00B6087D"/>
    <w:rsid w:val="00B61146"/>
    <w:rsid w:val="00B620BF"/>
    <w:rsid w:val="00B64292"/>
    <w:rsid w:val="00B65AB5"/>
    <w:rsid w:val="00B67F33"/>
    <w:rsid w:val="00B84F77"/>
    <w:rsid w:val="00BA094E"/>
    <w:rsid w:val="00BA18B7"/>
    <w:rsid w:val="00BA7DB5"/>
    <w:rsid w:val="00BB08FF"/>
    <w:rsid w:val="00BB1FA7"/>
    <w:rsid w:val="00BB6620"/>
    <w:rsid w:val="00BB6E20"/>
    <w:rsid w:val="00BB7D22"/>
    <w:rsid w:val="00BC0D2B"/>
    <w:rsid w:val="00BD0452"/>
    <w:rsid w:val="00BD30D0"/>
    <w:rsid w:val="00BE046A"/>
    <w:rsid w:val="00BE5E57"/>
    <w:rsid w:val="00BE7994"/>
    <w:rsid w:val="00BF2F62"/>
    <w:rsid w:val="00C003FF"/>
    <w:rsid w:val="00C03DC3"/>
    <w:rsid w:val="00C05BAE"/>
    <w:rsid w:val="00C10935"/>
    <w:rsid w:val="00C11FEE"/>
    <w:rsid w:val="00C121EA"/>
    <w:rsid w:val="00C137D1"/>
    <w:rsid w:val="00C22D04"/>
    <w:rsid w:val="00C23F94"/>
    <w:rsid w:val="00C26DC8"/>
    <w:rsid w:val="00C327E6"/>
    <w:rsid w:val="00C3598C"/>
    <w:rsid w:val="00C45DB1"/>
    <w:rsid w:val="00C553DC"/>
    <w:rsid w:val="00C56A80"/>
    <w:rsid w:val="00C739A7"/>
    <w:rsid w:val="00C75DDF"/>
    <w:rsid w:val="00C94F79"/>
    <w:rsid w:val="00CA5212"/>
    <w:rsid w:val="00CA540B"/>
    <w:rsid w:val="00CB1ABA"/>
    <w:rsid w:val="00CB46F2"/>
    <w:rsid w:val="00CB654A"/>
    <w:rsid w:val="00CB73E1"/>
    <w:rsid w:val="00CC68C3"/>
    <w:rsid w:val="00CD100B"/>
    <w:rsid w:val="00CD5B1B"/>
    <w:rsid w:val="00CE5E36"/>
    <w:rsid w:val="00CE7004"/>
    <w:rsid w:val="00CF1E02"/>
    <w:rsid w:val="00CF23CB"/>
    <w:rsid w:val="00CF2C95"/>
    <w:rsid w:val="00CF3315"/>
    <w:rsid w:val="00CF48B2"/>
    <w:rsid w:val="00CF5203"/>
    <w:rsid w:val="00D21371"/>
    <w:rsid w:val="00D221EA"/>
    <w:rsid w:val="00D231D1"/>
    <w:rsid w:val="00D31391"/>
    <w:rsid w:val="00D34362"/>
    <w:rsid w:val="00D37DF9"/>
    <w:rsid w:val="00D411F2"/>
    <w:rsid w:val="00D41E12"/>
    <w:rsid w:val="00D431D9"/>
    <w:rsid w:val="00D45493"/>
    <w:rsid w:val="00D46974"/>
    <w:rsid w:val="00D50115"/>
    <w:rsid w:val="00D51467"/>
    <w:rsid w:val="00D61F37"/>
    <w:rsid w:val="00D62B29"/>
    <w:rsid w:val="00D64818"/>
    <w:rsid w:val="00D75AC9"/>
    <w:rsid w:val="00D7674D"/>
    <w:rsid w:val="00D81F56"/>
    <w:rsid w:val="00D935FA"/>
    <w:rsid w:val="00D94F8D"/>
    <w:rsid w:val="00D950C0"/>
    <w:rsid w:val="00DA05C1"/>
    <w:rsid w:val="00DA5C04"/>
    <w:rsid w:val="00DB520A"/>
    <w:rsid w:val="00DC001A"/>
    <w:rsid w:val="00DC0390"/>
    <w:rsid w:val="00DC11FC"/>
    <w:rsid w:val="00DE0007"/>
    <w:rsid w:val="00DE0F2B"/>
    <w:rsid w:val="00DE5B14"/>
    <w:rsid w:val="00DF07FB"/>
    <w:rsid w:val="00DF0D24"/>
    <w:rsid w:val="00DF7043"/>
    <w:rsid w:val="00E00C6E"/>
    <w:rsid w:val="00E01B2F"/>
    <w:rsid w:val="00E03D01"/>
    <w:rsid w:val="00E04385"/>
    <w:rsid w:val="00E10261"/>
    <w:rsid w:val="00E166FB"/>
    <w:rsid w:val="00E17361"/>
    <w:rsid w:val="00E25B33"/>
    <w:rsid w:val="00E34C66"/>
    <w:rsid w:val="00E36A6D"/>
    <w:rsid w:val="00E36AC6"/>
    <w:rsid w:val="00E41E4D"/>
    <w:rsid w:val="00E435C7"/>
    <w:rsid w:val="00E62E9D"/>
    <w:rsid w:val="00E66F97"/>
    <w:rsid w:val="00E74095"/>
    <w:rsid w:val="00E77885"/>
    <w:rsid w:val="00E81300"/>
    <w:rsid w:val="00E82D7C"/>
    <w:rsid w:val="00E8337A"/>
    <w:rsid w:val="00E903C4"/>
    <w:rsid w:val="00E90EC5"/>
    <w:rsid w:val="00EA1A02"/>
    <w:rsid w:val="00EA5ABE"/>
    <w:rsid w:val="00EB0832"/>
    <w:rsid w:val="00EB1620"/>
    <w:rsid w:val="00EB34F0"/>
    <w:rsid w:val="00EC6C45"/>
    <w:rsid w:val="00ED1969"/>
    <w:rsid w:val="00ED7F6F"/>
    <w:rsid w:val="00EE27BC"/>
    <w:rsid w:val="00EF30CC"/>
    <w:rsid w:val="00EF6AF8"/>
    <w:rsid w:val="00F02CC5"/>
    <w:rsid w:val="00F211D2"/>
    <w:rsid w:val="00F244DE"/>
    <w:rsid w:val="00F25395"/>
    <w:rsid w:val="00F2780D"/>
    <w:rsid w:val="00F30B26"/>
    <w:rsid w:val="00F47FA7"/>
    <w:rsid w:val="00F54E44"/>
    <w:rsid w:val="00F72026"/>
    <w:rsid w:val="00F74D7E"/>
    <w:rsid w:val="00F753D9"/>
    <w:rsid w:val="00F82E59"/>
    <w:rsid w:val="00F85FE0"/>
    <w:rsid w:val="00F90144"/>
    <w:rsid w:val="00F92215"/>
    <w:rsid w:val="00F96370"/>
    <w:rsid w:val="00FA467E"/>
    <w:rsid w:val="00FB350E"/>
    <w:rsid w:val="00FB4E9C"/>
    <w:rsid w:val="00FB777E"/>
    <w:rsid w:val="00FC0D75"/>
    <w:rsid w:val="00FE1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FE1A2"/>
  <w15:chartTrackingRefBased/>
  <w15:docId w15:val="{939CC9CD-6332-9F4D-B3F8-CC297300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A46"/>
  </w:style>
  <w:style w:type="paragraph" w:styleId="Heading1">
    <w:name w:val="heading 1"/>
    <w:basedOn w:val="Normal"/>
    <w:link w:val="Heading1Char"/>
    <w:uiPriority w:val="9"/>
    <w:qFormat/>
    <w:rsid w:val="00612D3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60A"/>
    <w:pPr>
      <w:tabs>
        <w:tab w:val="center" w:pos="4680"/>
        <w:tab w:val="right" w:pos="9360"/>
      </w:tabs>
    </w:pPr>
  </w:style>
  <w:style w:type="character" w:customStyle="1" w:styleId="HeaderChar">
    <w:name w:val="Header Char"/>
    <w:basedOn w:val="DefaultParagraphFont"/>
    <w:link w:val="Header"/>
    <w:uiPriority w:val="99"/>
    <w:rsid w:val="002A560A"/>
  </w:style>
  <w:style w:type="paragraph" w:styleId="Footer">
    <w:name w:val="footer"/>
    <w:basedOn w:val="Normal"/>
    <w:link w:val="FooterChar"/>
    <w:uiPriority w:val="99"/>
    <w:unhideWhenUsed/>
    <w:rsid w:val="002A560A"/>
    <w:pPr>
      <w:tabs>
        <w:tab w:val="center" w:pos="4680"/>
        <w:tab w:val="right" w:pos="9360"/>
      </w:tabs>
    </w:pPr>
  </w:style>
  <w:style w:type="character" w:customStyle="1" w:styleId="FooterChar">
    <w:name w:val="Footer Char"/>
    <w:basedOn w:val="DefaultParagraphFont"/>
    <w:link w:val="Footer"/>
    <w:uiPriority w:val="99"/>
    <w:rsid w:val="002A560A"/>
  </w:style>
  <w:style w:type="paragraph" w:styleId="BodyText">
    <w:name w:val="Body Text"/>
    <w:basedOn w:val="Normal"/>
    <w:link w:val="BodyTextChar"/>
    <w:uiPriority w:val="99"/>
    <w:qFormat/>
    <w:rsid w:val="002A560A"/>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99"/>
    <w:rsid w:val="002A560A"/>
    <w:rPr>
      <w:rFonts w:ascii="Arial" w:eastAsia="Arial" w:hAnsi="Arial" w:cs="Arial"/>
      <w:sz w:val="16"/>
      <w:szCs w:val="16"/>
    </w:rPr>
  </w:style>
  <w:style w:type="table" w:styleId="TableGrid">
    <w:name w:val="Table Grid"/>
    <w:basedOn w:val="TableNormal"/>
    <w:uiPriority w:val="39"/>
    <w:rsid w:val="002A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C0390"/>
    <w:rPr>
      <w:color w:val="0563C1" w:themeColor="hyperlink"/>
      <w:u w:val="single"/>
    </w:rPr>
  </w:style>
  <w:style w:type="character" w:styleId="UnresolvedMention">
    <w:name w:val="Unresolved Mention"/>
    <w:basedOn w:val="DefaultParagraphFont"/>
    <w:uiPriority w:val="99"/>
    <w:semiHidden/>
    <w:unhideWhenUsed/>
    <w:rsid w:val="00DC0390"/>
    <w:rPr>
      <w:color w:val="605E5C"/>
      <w:shd w:val="clear" w:color="auto" w:fill="E1DFDD"/>
    </w:rPr>
  </w:style>
  <w:style w:type="character" w:styleId="FollowedHyperlink">
    <w:name w:val="FollowedHyperlink"/>
    <w:basedOn w:val="DefaultParagraphFont"/>
    <w:uiPriority w:val="99"/>
    <w:semiHidden/>
    <w:unhideWhenUsed/>
    <w:rsid w:val="00A57051"/>
    <w:rPr>
      <w:color w:val="954F72" w:themeColor="followedHyperlink"/>
      <w:u w:val="single"/>
    </w:rPr>
  </w:style>
  <w:style w:type="character" w:customStyle="1" w:styleId="Heading1Char">
    <w:name w:val="Heading 1 Char"/>
    <w:basedOn w:val="DefaultParagraphFont"/>
    <w:link w:val="Heading1"/>
    <w:uiPriority w:val="9"/>
    <w:rsid w:val="00612D37"/>
    <w:rPr>
      <w:rFonts w:ascii="Times New Roman" w:eastAsia="Times New Roman" w:hAnsi="Times New Roman" w:cs="Times New Roman"/>
      <w:b/>
      <w:bCs/>
      <w:kern w:val="36"/>
      <w:sz w:val="48"/>
      <w:szCs w:val="48"/>
    </w:rPr>
  </w:style>
  <w:style w:type="paragraph" w:customStyle="1" w:styleId="DWTNorm">
    <w:name w:val="DWTNorm"/>
    <w:basedOn w:val="BodyTextIndent"/>
    <w:rsid w:val="00612D37"/>
    <w:pPr>
      <w:spacing w:after="240" w:line="240" w:lineRule="auto"/>
      <w:ind w:left="0"/>
    </w:pPr>
    <w:rPr>
      <w:rFonts w:ascii="Times New Roman" w:eastAsia="Times New Roman" w:hAnsi="Times New Roman"/>
      <w:sz w:val="24"/>
      <w:szCs w:val="20"/>
    </w:rPr>
  </w:style>
  <w:style w:type="paragraph" w:styleId="BodyTextIndent">
    <w:name w:val="Body Text Indent"/>
    <w:basedOn w:val="Normal"/>
    <w:link w:val="BodyTextIndentChar"/>
    <w:uiPriority w:val="99"/>
    <w:unhideWhenUsed/>
    <w:rsid w:val="00612D37"/>
    <w:pPr>
      <w:spacing w:after="120" w:line="276" w:lineRule="auto"/>
      <w:ind w:left="360"/>
    </w:pPr>
    <w:rPr>
      <w:rFonts w:ascii="Book Antiqua" w:eastAsia="Book Antiqua" w:hAnsi="Book Antiqua" w:cs="Times New Roman"/>
      <w:sz w:val="22"/>
      <w:szCs w:val="22"/>
    </w:rPr>
  </w:style>
  <w:style w:type="character" w:customStyle="1" w:styleId="BodyTextIndentChar">
    <w:name w:val="Body Text Indent Char"/>
    <w:basedOn w:val="DefaultParagraphFont"/>
    <w:link w:val="BodyTextIndent"/>
    <w:uiPriority w:val="99"/>
    <w:rsid w:val="00612D37"/>
    <w:rPr>
      <w:rFonts w:ascii="Book Antiqua" w:eastAsia="Book Antiqua" w:hAnsi="Book Antiqua" w:cs="Times New Roman"/>
      <w:sz w:val="22"/>
      <w:szCs w:val="22"/>
    </w:rPr>
  </w:style>
  <w:style w:type="paragraph" w:styleId="BalloonText">
    <w:name w:val="Balloon Text"/>
    <w:basedOn w:val="Normal"/>
    <w:link w:val="BalloonTextChar"/>
    <w:uiPriority w:val="99"/>
    <w:semiHidden/>
    <w:unhideWhenUsed/>
    <w:rsid w:val="00612D37"/>
    <w:rPr>
      <w:rFonts w:ascii="Tahoma" w:eastAsia="Book Antiqua" w:hAnsi="Tahoma" w:cs="Tahoma"/>
      <w:sz w:val="16"/>
      <w:szCs w:val="16"/>
    </w:rPr>
  </w:style>
  <w:style w:type="character" w:customStyle="1" w:styleId="BalloonTextChar">
    <w:name w:val="Balloon Text Char"/>
    <w:basedOn w:val="DefaultParagraphFont"/>
    <w:link w:val="BalloonText"/>
    <w:uiPriority w:val="99"/>
    <w:semiHidden/>
    <w:rsid w:val="00612D37"/>
    <w:rPr>
      <w:rFonts w:ascii="Tahoma" w:eastAsia="Book Antiqua" w:hAnsi="Tahoma" w:cs="Tahoma"/>
      <w:sz w:val="16"/>
      <w:szCs w:val="16"/>
    </w:rPr>
  </w:style>
  <w:style w:type="paragraph" w:styleId="MacroText">
    <w:name w:val="macro"/>
    <w:link w:val="MacroTextChar"/>
    <w:semiHidden/>
    <w:rsid w:val="00612D37"/>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Times New Roman" w:eastAsia="Times New Roman" w:hAnsi="Times New Roman" w:cs="Times New Roman"/>
      <w:sz w:val="20"/>
      <w:szCs w:val="20"/>
    </w:rPr>
  </w:style>
  <w:style w:type="character" w:customStyle="1" w:styleId="MacroTextChar">
    <w:name w:val="Macro Text Char"/>
    <w:basedOn w:val="DefaultParagraphFont"/>
    <w:link w:val="MacroText"/>
    <w:semiHidden/>
    <w:rsid w:val="00612D37"/>
    <w:rPr>
      <w:rFonts w:ascii="Times New Roman" w:eastAsia="Times New Roman" w:hAnsi="Times New Roman" w:cs="Times New Roman"/>
      <w:sz w:val="20"/>
      <w:szCs w:val="20"/>
    </w:rPr>
  </w:style>
  <w:style w:type="character" w:styleId="PageNumber">
    <w:name w:val="page number"/>
    <w:basedOn w:val="DefaultParagraphFont"/>
    <w:rsid w:val="00612D37"/>
  </w:style>
  <w:style w:type="paragraph" w:customStyle="1" w:styleId="Default">
    <w:name w:val="Default"/>
    <w:rsid w:val="00612D37"/>
    <w:pPr>
      <w:autoSpaceDE w:val="0"/>
      <w:autoSpaceDN w:val="0"/>
      <w:adjustRightInd w:val="0"/>
    </w:pPr>
    <w:rPr>
      <w:rFonts w:ascii="Calibri" w:eastAsia="Book Antiqua" w:hAnsi="Calibri" w:cs="Calibri"/>
      <w:color w:val="000000"/>
    </w:rPr>
  </w:style>
  <w:style w:type="character" w:styleId="Emphasis">
    <w:name w:val="Emphasis"/>
    <w:uiPriority w:val="20"/>
    <w:qFormat/>
    <w:rsid w:val="00612D37"/>
    <w:rPr>
      <w:i/>
      <w:iCs/>
    </w:rPr>
  </w:style>
  <w:style w:type="character" w:styleId="FootnoteReference">
    <w:name w:val="footnote reference"/>
    <w:uiPriority w:val="99"/>
    <w:unhideWhenUsed/>
    <w:rsid w:val="00612D37"/>
    <w:rPr>
      <w:vertAlign w:val="superscript"/>
    </w:rPr>
  </w:style>
  <w:style w:type="character" w:customStyle="1" w:styleId="apple-style-span">
    <w:name w:val="apple-style-span"/>
    <w:rsid w:val="00612D37"/>
  </w:style>
  <w:style w:type="paragraph" w:customStyle="1" w:styleId="outlinelevel1">
    <w:name w:val="outline_level_1"/>
    <w:basedOn w:val="Normal"/>
    <w:rsid w:val="00612D37"/>
    <w:pPr>
      <w:spacing w:before="100" w:beforeAutospacing="1" w:after="100" w:afterAutospacing="1"/>
    </w:pPr>
    <w:rPr>
      <w:rFonts w:ascii="Times New Roman" w:eastAsia="Times New Roman" w:hAnsi="Times New Roman" w:cs="Times New Roman"/>
    </w:rPr>
  </w:style>
  <w:style w:type="paragraph" w:customStyle="1" w:styleId="outlinelevel2">
    <w:name w:val="outline_level_2"/>
    <w:basedOn w:val="Normal"/>
    <w:rsid w:val="00612D37"/>
    <w:pPr>
      <w:spacing w:before="100" w:beforeAutospacing="1" w:after="100" w:afterAutospacing="1"/>
    </w:pPr>
    <w:rPr>
      <w:rFonts w:ascii="Times New Roman" w:eastAsia="Times New Roman" w:hAnsi="Times New Roman" w:cs="Times New Roman"/>
    </w:rPr>
  </w:style>
  <w:style w:type="character" w:customStyle="1" w:styleId="outlineheading2">
    <w:name w:val="outline_heading_2"/>
    <w:rsid w:val="00612D37"/>
  </w:style>
  <w:style w:type="character" w:customStyle="1" w:styleId="apple-converted-space">
    <w:name w:val="apple-converted-space"/>
    <w:rsid w:val="00612D37"/>
  </w:style>
  <w:style w:type="character" w:customStyle="1" w:styleId="connectingand">
    <w:name w:val="connecting_and"/>
    <w:rsid w:val="00612D37"/>
  </w:style>
  <w:style w:type="paragraph" w:styleId="NormalWeb">
    <w:name w:val="Normal (Web)"/>
    <w:basedOn w:val="Normal"/>
    <w:uiPriority w:val="99"/>
    <w:unhideWhenUsed/>
    <w:rsid w:val="00612D3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12D37"/>
    <w:pPr>
      <w:spacing w:line="276" w:lineRule="auto"/>
      <w:ind w:left="720"/>
    </w:pPr>
    <w:rPr>
      <w:rFonts w:ascii="Book Antiqua" w:eastAsia="Book Antiqua" w:hAnsi="Book Antiqua" w:cs="Times New Roman"/>
      <w:sz w:val="22"/>
      <w:szCs w:val="22"/>
    </w:rPr>
  </w:style>
  <w:style w:type="character" w:styleId="Strong">
    <w:name w:val="Strong"/>
    <w:uiPriority w:val="22"/>
    <w:qFormat/>
    <w:rsid w:val="00612D37"/>
    <w:rPr>
      <w:b/>
      <w:bCs/>
    </w:rPr>
  </w:style>
  <w:style w:type="paragraph" w:customStyle="1" w:styleId="bodytext0">
    <w:name w:val="body_text"/>
    <w:basedOn w:val="Normal"/>
    <w:rsid w:val="00612D37"/>
    <w:pPr>
      <w:spacing w:before="100" w:beforeAutospacing="1" w:after="100" w:afterAutospacing="1"/>
    </w:pPr>
    <w:rPr>
      <w:rFonts w:ascii="Times New Roman" w:eastAsia="Times New Roman" w:hAnsi="Times New Roman" w:cs="Times New Roman"/>
    </w:rPr>
  </w:style>
  <w:style w:type="character" w:customStyle="1" w:styleId="ClauseHeadersCharChar">
    <w:name w:val="ClauseHeaders Char Char"/>
    <w:rsid w:val="00612D37"/>
    <w:rPr>
      <w:rFonts w:ascii="Arial" w:hAnsi="Arial" w:cs="Arial"/>
      <w:b/>
      <w:bCs/>
      <w:sz w:val="17"/>
      <w:szCs w:val="16"/>
      <w:lang w:val="en-US" w:eastAsia="en-US" w:bidi="ar-SA"/>
    </w:rPr>
  </w:style>
  <w:style w:type="paragraph" w:customStyle="1" w:styleId="DWTQuote">
    <w:name w:val="DWTQuote"/>
    <w:basedOn w:val="DWTNorm"/>
    <w:next w:val="DWTNorm"/>
    <w:link w:val="DWTQuoteChar"/>
    <w:rsid w:val="00612D37"/>
    <w:pPr>
      <w:ind w:left="1440" w:right="1440"/>
    </w:pPr>
  </w:style>
  <w:style w:type="character" w:customStyle="1" w:styleId="DWTQuoteChar">
    <w:name w:val="DWTQuote Char"/>
    <w:link w:val="DWTQuote"/>
    <w:locked/>
    <w:rsid w:val="00612D37"/>
    <w:rPr>
      <w:rFonts w:ascii="Times New Roman" w:eastAsia="Times New Roman" w:hAnsi="Times New Roman" w:cs="Times New Roman"/>
      <w:szCs w:val="20"/>
    </w:rPr>
  </w:style>
  <w:style w:type="character" w:customStyle="1" w:styleId="quiet">
    <w:name w:val="quiet"/>
    <w:rsid w:val="00612D37"/>
  </w:style>
  <w:style w:type="character" w:customStyle="1" w:styleId="annotation">
    <w:name w:val="annotation"/>
    <w:rsid w:val="00612D37"/>
  </w:style>
  <w:style w:type="character" w:customStyle="1" w:styleId="outlineheading1">
    <w:name w:val="outline_heading_1"/>
    <w:rsid w:val="00612D37"/>
  </w:style>
  <w:style w:type="paragraph" w:customStyle="1" w:styleId="outlinelevel3">
    <w:name w:val="outline_level_3"/>
    <w:basedOn w:val="Normal"/>
    <w:rsid w:val="00612D37"/>
    <w:pPr>
      <w:spacing w:before="100" w:beforeAutospacing="1" w:after="100" w:afterAutospacing="1"/>
    </w:pPr>
    <w:rPr>
      <w:rFonts w:ascii="Times New Roman" w:eastAsia="Times New Roman" w:hAnsi="Times New Roman" w:cs="Times New Roman"/>
    </w:rPr>
  </w:style>
  <w:style w:type="character" w:customStyle="1" w:styleId="outlineheading3">
    <w:name w:val="outline_heading_3"/>
    <w:rsid w:val="00612D37"/>
  </w:style>
  <w:style w:type="paragraph" w:styleId="FootnoteText">
    <w:name w:val="footnote text"/>
    <w:basedOn w:val="Normal"/>
    <w:link w:val="FootnoteTextChar"/>
    <w:uiPriority w:val="99"/>
    <w:unhideWhenUsed/>
    <w:rsid w:val="00612D37"/>
    <w:pPr>
      <w:spacing w:line="276" w:lineRule="auto"/>
    </w:pPr>
    <w:rPr>
      <w:rFonts w:ascii="Book Antiqua" w:eastAsia="Book Antiqua" w:hAnsi="Book Antiqua" w:cs="Times New Roman"/>
      <w:sz w:val="20"/>
      <w:szCs w:val="20"/>
    </w:rPr>
  </w:style>
  <w:style w:type="character" w:customStyle="1" w:styleId="FootnoteTextChar">
    <w:name w:val="Footnote Text Char"/>
    <w:basedOn w:val="DefaultParagraphFont"/>
    <w:link w:val="FootnoteText"/>
    <w:uiPriority w:val="99"/>
    <w:rsid w:val="00612D37"/>
    <w:rPr>
      <w:rFonts w:ascii="Book Antiqua" w:eastAsia="Book Antiqua" w:hAnsi="Book Antiqua" w:cs="Times New Roman"/>
      <w:sz w:val="20"/>
      <w:szCs w:val="20"/>
    </w:rPr>
  </w:style>
  <w:style w:type="character" w:styleId="CommentReference">
    <w:name w:val="annotation reference"/>
    <w:uiPriority w:val="99"/>
    <w:semiHidden/>
    <w:unhideWhenUsed/>
    <w:rsid w:val="00612D37"/>
    <w:rPr>
      <w:sz w:val="16"/>
      <w:szCs w:val="16"/>
    </w:rPr>
  </w:style>
  <w:style w:type="paragraph" w:styleId="CommentText">
    <w:name w:val="annotation text"/>
    <w:basedOn w:val="Normal"/>
    <w:link w:val="CommentTextChar"/>
    <w:uiPriority w:val="99"/>
    <w:semiHidden/>
    <w:unhideWhenUsed/>
    <w:rsid w:val="00612D37"/>
    <w:pPr>
      <w:spacing w:line="276" w:lineRule="auto"/>
    </w:pPr>
    <w:rPr>
      <w:rFonts w:ascii="Book Antiqua" w:eastAsia="Book Antiqua" w:hAnsi="Book Antiqua" w:cs="Times New Roman"/>
      <w:sz w:val="20"/>
      <w:szCs w:val="20"/>
    </w:rPr>
  </w:style>
  <w:style w:type="character" w:customStyle="1" w:styleId="CommentTextChar">
    <w:name w:val="Comment Text Char"/>
    <w:basedOn w:val="DefaultParagraphFont"/>
    <w:link w:val="CommentText"/>
    <w:uiPriority w:val="99"/>
    <w:semiHidden/>
    <w:rsid w:val="00612D37"/>
    <w:rPr>
      <w:rFonts w:ascii="Book Antiqua" w:eastAsia="Book Antiqua"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612D37"/>
    <w:rPr>
      <w:b/>
      <w:bCs/>
    </w:rPr>
  </w:style>
  <w:style w:type="character" w:customStyle="1" w:styleId="CommentSubjectChar">
    <w:name w:val="Comment Subject Char"/>
    <w:basedOn w:val="CommentTextChar"/>
    <w:link w:val="CommentSubject"/>
    <w:uiPriority w:val="99"/>
    <w:semiHidden/>
    <w:rsid w:val="00612D37"/>
    <w:rPr>
      <w:rFonts w:ascii="Book Antiqua" w:eastAsia="Book Antiqua" w:hAnsi="Book Antiqua" w:cs="Times New Roman"/>
      <w:b/>
      <w:bCs/>
      <w:sz w:val="20"/>
      <w:szCs w:val="20"/>
    </w:rPr>
  </w:style>
  <w:style w:type="character" w:customStyle="1" w:styleId="cf01">
    <w:name w:val="cf01"/>
    <w:rsid w:val="00612D37"/>
    <w:rPr>
      <w:rFonts w:ascii="Segoe UI" w:hAnsi="Segoe UI" w:cs="Segoe UI" w:hint="default"/>
      <w:sz w:val="16"/>
      <w:szCs w:val="16"/>
    </w:rPr>
  </w:style>
  <w:style w:type="character" w:customStyle="1" w:styleId="cf11">
    <w:name w:val="cf11"/>
    <w:rsid w:val="00612D37"/>
    <w:rPr>
      <w:rFonts w:ascii="Segoe UI" w:hAnsi="Segoe UI" w:cs="Segoe UI" w:hint="default"/>
      <w:b/>
      <w:bCs/>
      <w:sz w:val="16"/>
      <w:szCs w:val="16"/>
    </w:rPr>
  </w:style>
  <w:style w:type="paragraph" w:customStyle="1" w:styleId="LitNorm10">
    <w:name w:val="LitNorm10"/>
    <w:basedOn w:val="BodyTextIndent"/>
    <w:link w:val="LitNorm10Char"/>
    <w:rsid w:val="00612D37"/>
    <w:pPr>
      <w:widowControl w:val="0"/>
      <w:spacing w:after="240" w:line="240" w:lineRule="exact"/>
      <w:ind w:left="0" w:firstLine="1440"/>
      <w:jc w:val="both"/>
    </w:pPr>
    <w:rPr>
      <w:rFonts w:ascii="Times New Roman" w:eastAsia="Times New Roman" w:hAnsi="Times New Roman"/>
      <w:sz w:val="24"/>
      <w:szCs w:val="20"/>
    </w:rPr>
  </w:style>
  <w:style w:type="character" w:customStyle="1" w:styleId="LitNorm10Char">
    <w:name w:val="LitNorm10 Char"/>
    <w:link w:val="LitNorm10"/>
    <w:rsid w:val="00612D37"/>
    <w:rPr>
      <w:rFonts w:ascii="Times New Roman" w:eastAsia="Times New Roman" w:hAnsi="Times New Roman" w:cs="Times New Roman"/>
      <w:szCs w:val="20"/>
    </w:rPr>
  </w:style>
  <w:style w:type="numbering" w:customStyle="1" w:styleId="ImportedStyle3">
    <w:name w:val="Imported Style 3"/>
    <w:rsid w:val="00612D37"/>
    <w:pPr>
      <w:numPr>
        <w:numId w:val="1"/>
      </w:numPr>
    </w:pPr>
  </w:style>
  <w:style w:type="paragraph" w:styleId="Revision">
    <w:name w:val="Revision"/>
    <w:hidden/>
    <w:uiPriority w:val="99"/>
    <w:semiHidden/>
    <w:rsid w:val="0091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1701">
      <w:bodyDiv w:val="1"/>
      <w:marLeft w:val="0"/>
      <w:marRight w:val="0"/>
      <w:marTop w:val="0"/>
      <w:marBottom w:val="0"/>
      <w:divBdr>
        <w:top w:val="none" w:sz="0" w:space="0" w:color="auto"/>
        <w:left w:val="none" w:sz="0" w:space="0" w:color="auto"/>
        <w:bottom w:val="none" w:sz="0" w:space="0" w:color="auto"/>
        <w:right w:val="none" w:sz="0" w:space="0" w:color="auto"/>
      </w:divBdr>
    </w:div>
    <w:div w:id="498155297">
      <w:bodyDiv w:val="1"/>
      <w:marLeft w:val="0"/>
      <w:marRight w:val="0"/>
      <w:marTop w:val="0"/>
      <w:marBottom w:val="0"/>
      <w:divBdr>
        <w:top w:val="none" w:sz="0" w:space="0" w:color="auto"/>
        <w:left w:val="none" w:sz="0" w:space="0" w:color="auto"/>
        <w:bottom w:val="none" w:sz="0" w:space="0" w:color="auto"/>
        <w:right w:val="none" w:sz="0" w:space="0" w:color="auto"/>
      </w:divBdr>
    </w:div>
    <w:div w:id="543758751">
      <w:bodyDiv w:val="1"/>
      <w:marLeft w:val="0"/>
      <w:marRight w:val="0"/>
      <w:marTop w:val="0"/>
      <w:marBottom w:val="0"/>
      <w:divBdr>
        <w:top w:val="none" w:sz="0" w:space="0" w:color="auto"/>
        <w:left w:val="none" w:sz="0" w:space="0" w:color="auto"/>
        <w:bottom w:val="none" w:sz="0" w:space="0" w:color="auto"/>
        <w:right w:val="none" w:sz="0" w:space="0" w:color="auto"/>
      </w:divBdr>
    </w:div>
    <w:div w:id="777721191">
      <w:bodyDiv w:val="1"/>
      <w:marLeft w:val="0"/>
      <w:marRight w:val="0"/>
      <w:marTop w:val="0"/>
      <w:marBottom w:val="0"/>
      <w:divBdr>
        <w:top w:val="none" w:sz="0" w:space="0" w:color="auto"/>
        <w:left w:val="none" w:sz="0" w:space="0" w:color="auto"/>
        <w:bottom w:val="none" w:sz="0" w:space="0" w:color="auto"/>
        <w:right w:val="none" w:sz="0" w:space="0" w:color="auto"/>
      </w:divBdr>
    </w:div>
    <w:div w:id="893850616">
      <w:bodyDiv w:val="1"/>
      <w:marLeft w:val="0"/>
      <w:marRight w:val="0"/>
      <w:marTop w:val="0"/>
      <w:marBottom w:val="0"/>
      <w:divBdr>
        <w:top w:val="none" w:sz="0" w:space="0" w:color="auto"/>
        <w:left w:val="none" w:sz="0" w:space="0" w:color="auto"/>
        <w:bottom w:val="none" w:sz="0" w:space="0" w:color="auto"/>
        <w:right w:val="none" w:sz="0" w:space="0" w:color="auto"/>
      </w:divBdr>
    </w:div>
    <w:div w:id="1039623938">
      <w:bodyDiv w:val="1"/>
      <w:marLeft w:val="0"/>
      <w:marRight w:val="0"/>
      <w:marTop w:val="0"/>
      <w:marBottom w:val="0"/>
      <w:divBdr>
        <w:top w:val="none" w:sz="0" w:space="0" w:color="auto"/>
        <w:left w:val="none" w:sz="0" w:space="0" w:color="auto"/>
        <w:bottom w:val="none" w:sz="0" w:space="0" w:color="auto"/>
        <w:right w:val="none" w:sz="0" w:space="0" w:color="auto"/>
      </w:divBdr>
    </w:div>
    <w:div w:id="1406029603">
      <w:bodyDiv w:val="1"/>
      <w:marLeft w:val="0"/>
      <w:marRight w:val="0"/>
      <w:marTop w:val="0"/>
      <w:marBottom w:val="0"/>
      <w:divBdr>
        <w:top w:val="none" w:sz="0" w:space="0" w:color="auto"/>
        <w:left w:val="none" w:sz="0" w:space="0" w:color="auto"/>
        <w:bottom w:val="none" w:sz="0" w:space="0" w:color="auto"/>
        <w:right w:val="none" w:sz="0" w:space="0" w:color="auto"/>
      </w:divBdr>
    </w:div>
    <w:div w:id="1418750538">
      <w:bodyDiv w:val="1"/>
      <w:marLeft w:val="0"/>
      <w:marRight w:val="0"/>
      <w:marTop w:val="0"/>
      <w:marBottom w:val="0"/>
      <w:divBdr>
        <w:top w:val="none" w:sz="0" w:space="0" w:color="auto"/>
        <w:left w:val="none" w:sz="0" w:space="0" w:color="auto"/>
        <w:bottom w:val="none" w:sz="0" w:space="0" w:color="auto"/>
        <w:right w:val="none" w:sz="0" w:space="0" w:color="auto"/>
      </w:divBdr>
    </w:div>
    <w:div w:id="1690640264">
      <w:bodyDiv w:val="1"/>
      <w:marLeft w:val="0"/>
      <w:marRight w:val="0"/>
      <w:marTop w:val="0"/>
      <w:marBottom w:val="0"/>
      <w:divBdr>
        <w:top w:val="none" w:sz="0" w:space="0" w:color="auto"/>
        <w:left w:val="none" w:sz="0" w:space="0" w:color="auto"/>
        <w:bottom w:val="none" w:sz="0" w:space="0" w:color="auto"/>
        <w:right w:val="none" w:sz="0" w:space="0" w:color="auto"/>
      </w:divBdr>
    </w:div>
    <w:div w:id="198334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phil@q-law.com" TargetMode="External"/><Relationship Id="rId1" Type="http://schemas.openxmlformats.org/officeDocument/2006/relationships/hyperlink" Target="mailto:phil@q-la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hyperlink" Target="mailto:phil@q-law.com" TargetMode="External"/><Relationship Id="rId2" Type="http://schemas.openxmlformats.org/officeDocument/2006/relationships/image" Target="media/image1.jpg"/><Relationship Id="rId1" Type="http://schemas.openxmlformats.org/officeDocument/2006/relationships/image" Target="media/image2.jpg"/><Relationship Id="rId4" Type="http://schemas.openxmlformats.org/officeDocument/2006/relationships/hyperlink" Target="http://www.q-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C08C5-5348-E248-A7A2-8646CC12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Sharron</dc:creator>
  <cp:keywords/>
  <dc:description/>
  <cp:lastModifiedBy/>
  <cp:revision>2</cp:revision>
  <cp:lastPrinted>2021-04-27T20:16:00Z</cp:lastPrinted>
  <dcterms:created xsi:type="dcterms:W3CDTF">2021-12-20T18:27:00Z</dcterms:created>
  <dcterms:modified xsi:type="dcterms:W3CDTF">2021-12-20T18:27:00Z</dcterms:modified>
</cp:coreProperties>
</file>